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7.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tbl>
      <w:tblPr>
        <w:tblW w:w="0" w:type="auto"/>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Caption w:val=""/>
        <w:tblDescription w:val=""/>
      </w:tblPr>
      <w:tblGrid>
        <w:gridCol w:w="10314"/>
      </w:tblGrid>
      <w:tr>
        <w:trPr>
          <w:jc w:val="left"/>
        </w:trPr>
        <w:tc>
          <w:tcPr>
            <w:tcW w:type="dxa" w:w="10314"/>
            <w:tcBorders/>
            <w:shd w:fill="auto" w:color="auto" w:val="clear"/>
          </w:tcPr>
          <w:p>
            <w:pPr>
              <w:pStyle w:val="Default"/>
              <w:spacing w:line="240" w:lineRule="auto"/>
              <w:rPr>
                <w:b/>
                <w:color w:val="auto"/>
                <w:sz w:val="22"/>
                <w:szCs w:val="22"/>
                <w:lang w:eastAsia="en-US"/>
              </w:rPr>
            </w:pPr>
          </w:p>
        </w:tc>
      </w:tr>
    </w:tbl>
    <w:p>
      <w:pPr>
        <w:pStyle w:val="Default"/>
        <w:spacing w:line="240" w:lineRule="auto"/>
        <w:jc w:val="right"/>
        <w:rPr>
          <w:color w:val="auto"/>
          <w:sz w:val="22"/>
          <w:szCs w:val="22"/>
          <w:lang w:eastAsia="en-US"/>
        </w:rPr>
      </w:pPr>
      <w:r>
        <w:rPr>
          <w:noProof/>
        </w:rPr>
        <w:drawing>
          <wp:inline>
            <wp:extent cx="2047875" cy="619125"/>
            <wp:effectExtent xmlns:wp="http://schemas.openxmlformats.org/drawingml/2006/wordprocessingDrawing" l="0" t="0" r="9525" b="9525"/>
            <wp:docPr id="1" descr="LogoForEmailSignature"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2047875" cy="619125"/>
                    </a:xfrm>
                    <a:prstGeom prst="rect">
                      <a:avLst/>
                    </a:prstGeom>
                    <a:ln>
                      <a:noFill/>
                    </a:ln>
                  </pic:spPr>
                </pic:pic>
              </a:graphicData>
            </a:graphic>
          </wp:inline>
        </w:drawing>
      </w:r>
    </w:p>
    <w:p>
      <w:pPr>
        <w:pStyle w:val="Default"/>
        <w:spacing w:line="240" w:lineRule="auto"/>
        <w:rPr>
          <w:color w:val="auto"/>
          <w:sz w:val="22"/>
          <w:szCs w:val="22"/>
          <w:lang w:eastAsia="en-US"/>
        </w:rPr>
      </w:pPr>
    </w:p>
    <w:p>
      <w:pPr>
        <w:pStyle w:val="Default"/>
        <w:spacing w:line="240" w:lineRule="auto"/>
        <w:jc w:val="center"/>
        <w:rPr>
          <w:b/>
          <w:bCs/>
          <w:color w:val="auto"/>
          <w:sz w:val="22"/>
          <w:szCs w:val="22"/>
        </w:rPr>
      </w:pPr>
      <w:bookmarkStart w:id="2" w:name="_GoBack"/>
      <w:r>
        <w:rPr>
          <w:b/>
          <w:bCs/>
          <w:color w:val="auto"/>
          <w:sz w:val="22"/>
          <w:szCs w:val="22"/>
        </w:rPr>
        <w:t xml:space="preserve">Strategy for the Delivery of Academic Collaborative P</w:t>
      </w:r>
      <w:r>
        <w:rPr>
          <w:b/>
          <w:bCs/>
          <w:color w:val="auto"/>
          <w:sz w:val="22"/>
          <w:szCs w:val="22"/>
        </w:rPr>
        <w:t xml:space="preserve">rovision </w:t>
      </w:r>
      <w:r>
        <w:rPr>
          <w:b/>
          <w:bCs/>
          <w:color w:val="auto"/>
          <w:sz w:val="22"/>
          <w:szCs w:val="22"/>
        </w:rPr>
        <w:t xml:space="preserve">2013 to 2018</w:t>
      </w:r>
      <w:bookmarkEnd w:id="2"/>
    </w:p>
    <w:p>
      <w:pPr>
        <w:pStyle w:val="Default"/>
        <w:spacing w:line="240" w:lineRule="auto"/>
        <w:rPr>
          <w:b/>
          <w:bCs/>
          <w:color w:val="auto"/>
          <w:sz w:val="22"/>
          <w:szCs w:val="22"/>
        </w:rPr>
      </w:pPr>
    </w:p>
    <w:p>
      <w:pPr>
        <w:pStyle w:val="Default"/>
        <w:spacing w:line="240" w:lineRule="auto"/>
        <w:rPr>
          <w:b/>
          <w:bCs/>
          <w:color w:val="auto"/>
          <w:sz w:val="22"/>
          <w:szCs w:val="22"/>
        </w:rPr>
      </w:pPr>
      <w:r>
        <w:rPr>
          <w:b/>
          <w:bCs/>
          <w:color w:val="auto"/>
          <w:sz w:val="22"/>
          <w:szCs w:val="22"/>
        </w:rPr>
        <w:t xml:space="preserve">1. Context</w:t>
      </w:r>
    </w:p>
    <w:p>
      <w:pPr>
        <w:spacing w:before="100" w:beforeAutospacing="1" w:after="100" w:afterAutospacing="1" w:line="240" w:lineRule="auto"/>
        <w:outlineLvl w:val="2"/>
        <w:rPr>
          <w:rFonts w:ascii="Calibri" w:hAnsi="Calibri" w:eastAsia="Calibri" w:cs="Calibri"/>
          <w:bCs/>
          <w:sz w:val="22"/>
          <w:szCs w:val="22"/>
        </w:rPr>
      </w:pPr>
      <w:r>
        <w:rPr>
          <w:rFonts w:ascii="Calibri" w:hAnsi="Calibri" w:eastAsia="Calibri" w:cs="Calibri"/>
          <w:b/>
          <w:bCs/>
          <w:sz w:val="22"/>
          <w:szCs w:val="22"/>
          <w:u w:val="single"/>
        </w:rPr>
        <w:t xml:space="preserve">1.1</w:t>
      </w:r>
      <w:r>
        <w:rPr>
          <w:rFonts w:ascii="Calibri" w:hAnsi="Calibri" w:eastAsia="Calibri" w:cs="Calibri"/>
          <w:b/>
          <w:bCs/>
          <w:sz w:val="22"/>
          <w:szCs w:val="22"/>
          <w:u w:val="single"/>
        </w:rPr>
        <w:tab/>
        <w:t xml:space="preserve"/>
      </w:r>
      <w:r>
        <w:rPr>
          <w:rFonts w:ascii="Calibri" w:hAnsi="Calibri" w:eastAsia="Calibri" w:cs="Calibri"/>
          <w:b/>
          <w:bCs/>
          <w:sz w:val="22"/>
          <w:szCs w:val="22"/>
          <w:u w:val="single"/>
        </w:rPr>
        <w:t xml:space="preserve">Our Mission</w:t>
      </w:r>
      <w:r>
        <w:rPr>
          <w:rFonts w:ascii="Calibri" w:hAnsi="Calibri" w:eastAsia="Calibri" w:cs="Calibri"/>
          <w:b/>
          <w:bCs/>
          <w:sz w:val="22"/>
          <w:szCs w:val="22"/>
        </w:rPr>
        <w:t xml:space="preserve"> </w:t>
      </w:r>
      <w:r>
        <w:rPr>
          <w:rFonts w:ascii="Calibri" w:hAnsi="Calibri" w:eastAsia="Calibri" w:cs="Calibri"/>
          <w:bCs/>
          <w:sz w:val="22"/>
          <w:szCs w:val="22"/>
        </w:rPr>
        <w:t xml:space="preserve">i</w:t>
      </w:r>
      <w:r>
        <w:rPr>
          <w:rFonts w:ascii="Calibri" w:hAnsi="Calibri" w:eastAsia="Calibri" w:cs="Calibri"/>
          <w:bCs/>
          <w:sz w:val="22"/>
          <w:szCs w:val="22"/>
        </w:rPr>
        <w:t xml:space="preserve">s</w:t>
      </w:r>
      <w:r>
        <w:rPr>
          <w:rFonts w:ascii="Calibri" w:hAnsi="Calibri" w:eastAsia="Calibri" w:cs="Calibri"/>
          <w:bCs/>
          <w:sz w:val="22"/>
          <w:szCs w:val="22"/>
        </w:rPr>
        <w:t xml:space="preserve"> to provide and promote excellent and accessible higher education which enhances the lives of individuals and fosters the development of the communities to which we belong. In so doing, the university will embrace four guiding themes: sustainability; creativity; employability and enterprise</w:t>
      </w:r>
    </w:p>
    <w:p>
      <w:pPr>
        <w:pStyle w:val="Heading3"/>
        <w:spacing w:line="240" w:lineRule="auto"/>
        <w:rPr>
          <w:rFonts w:ascii="Calibri" w:hAnsi="Calibri" w:eastAsia="Calibri" w:cs="Calibri"/>
          <w:color w:val="auto"/>
          <w:sz w:val="22"/>
          <w:szCs w:val="22"/>
          <w:u w:val="single"/>
        </w:rPr>
      </w:pPr>
      <w:r>
        <w:rPr>
          <w:rFonts w:ascii="Calibri" w:hAnsi="Calibri" w:eastAsia="Calibri" w:cs="Calibri"/>
          <w:color w:val="auto"/>
          <w:sz w:val="22"/>
          <w:szCs w:val="22"/>
          <w:u w:val="single"/>
        </w:rPr>
        <w:t xml:space="preserve">1.2</w:t>
      </w:r>
      <w:r>
        <w:rPr>
          <w:rFonts w:ascii="Calibri" w:hAnsi="Calibri" w:eastAsia="Calibri" w:cs="Calibri"/>
          <w:color w:val="auto"/>
          <w:sz w:val="22"/>
          <w:szCs w:val="22"/>
          <w:u w:val="single"/>
        </w:rPr>
        <w:tab/>
        <w:t xml:space="preserve"/>
      </w:r>
      <w:r>
        <w:rPr>
          <w:rFonts w:ascii="Calibri" w:hAnsi="Calibri" w:eastAsia="Calibri" w:cs="Calibri"/>
          <w:color w:val="auto"/>
          <w:sz w:val="22"/>
          <w:szCs w:val="22"/>
          <w:u w:val="single"/>
        </w:rPr>
        <w:t xml:space="preserve">Our Vision </w:t>
      </w:r>
    </w:p>
    <w:p>
      <w:pPr>
        <w:pStyle w:val="NoSpacing"/>
        <w:spacing w:line="240" w:lineRule="auto"/>
        <w:rPr>
          <w:rFonts w:ascii="Calibri" w:hAnsi="Calibri" w:eastAsia="Calibri" w:cs="Calibri"/>
          <w:bCs/>
          <w:sz w:val="22"/>
          <w:szCs w:val="22"/>
          <w:lang w:eastAsia="en-GB"/>
        </w:rPr>
      </w:pPr>
      <w:r>
        <w:rPr>
          <w:rFonts w:ascii="Calibri" w:hAnsi="Calibri" w:eastAsia="Calibri" w:cs="Calibri"/>
          <w:bCs/>
          <w:sz w:val="22"/>
          <w:szCs w:val="22"/>
          <w:lang w:eastAsia="en-GB"/>
        </w:rPr>
        <w:t xml:space="preserve">We will be a dynamic, creative and entrepreneurial university, rooted in our region, with strong and sustainable national and international connections.</w:t>
      </w:r>
    </w:p>
    <w:p>
      <w:pPr>
        <w:pStyle w:val="NoSpacing"/>
        <w:spacing w:line="240" w:lineRule="auto"/>
        <w:rPr/>
      </w:pPr>
      <w:r>
        <w:rPr/>
        <w:br/>
      </w:r>
      <w:r>
        <w:rPr>
          <w:rFonts w:ascii="Calibri" w:hAnsi="Calibri" w:eastAsia="Calibri" w:cs="Calibri"/>
          <w:bCs/>
          <w:sz w:val="22"/>
          <w:szCs w:val="22"/>
          <w:lang w:eastAsia="en-GB"/>
        </w:rPr>
        <w:t xml:space="preserve">We will be a larger university than in 2012, more sustainable and more resilient. Our work will be focussed on the professions and be both business-relevant and research-informed.</w:t>
      </w:r>
      <w:r>
        <w:rPr/>
        <w:t xml:space="preserve"> </w:t>
      </w:r>
    </w:p>
    <w:p>
      <w:pPr>
        <w:pStyle w:val="NormalWeb"/>
        <w:spacing w:line="240" w:lineRule="auto"/>
        <w:rPr>
          <w:rFonts w:ascii="Calibri" w:hAnsi="Calibri" w:eastAsia="Calibri" w:cs="Calibri"/>
          <w:bCs/>
          <w:sz w:val="22"/>
          <w:szCs w:val="22"/>
        </w:rPr>
      </w:pPr>
      <w:r>
        <w:rPr>
          <w:rFonts w:ascii="Calibri" w:hAnsi="Calibri" w:eastAsia="Calibri" w:cs="Calibri"/>
          <w:b/>
          <w:sz w:val="22"/>
          <w:szCs w:val="22"/>
        </w:rPr>
        <w:t xml:space="preserve">Our students</w:t>
      </w:r>
      <w:r>
        <w:rPr>
          <w:rFonts w:ascii="Calibri" w:hAnsi="Calibri" w:eastAsia="Calibri" w:cs="Calibri"/>
          <w:bCs/>
          <w:sz w:val="22"/>
          <w:szCs w:val="22"/>
        </w:rPr>
        <w:t xml:space="preserve"> will be contributors to a vibrant academic community committed to excellence in learning and teaching underpinned by research and enterprise, which equips them for employment, individual fulfilment and lifelong learning. </w:t>
      </w:r>
    </w:p>
    <w:p>
      <w:pPr>
        <w:pStyle w:val="NormalWeb"/>
        <w:spacing w:line="240" w:lineRule="auto"/>
        <w:rPr>
          <w:rFonts w:ascii="Calibri" w:hAnsi="Calibri" w:eastAsia="Calibri" w:cs="Calibri"/>
          <w:bCs/>
          <w:sz w:val="22"/>
          <w:szCs w:val="22"/>
        </w:rPr>
      </w:pPr>
      <w:r>
        <w:rPr>
          <w:rFonts w:ascii="Calibri" w:hAnsi="Calibri" w:eastAsia="Calibri" w:cs="Calibri"/>
          <w:b/>
          <w:sz w:val="22"/>
          <w:szCs w:val="22"/>
        </w:rPr>
        <w:t xml:space="preserve">Our staff</w:t>
      </w:r>
      <w:r>
        <w:rPr>
          <w:rFonts w:ascii="Calibri" w:hAnsi="Calibri" w:eastAsia="Calibri" w:cs="Calibri"/>
          <w:bCs/>
          <w:sz w:val="22"/>
          <w:szCs w:val="22"/>
        </w:rPr>
        <w:t xml:space="preserve"> will be innovative, enterprising and professionally outstanding individuals, focussed on enabling our students and other university partners to realise their ambitions, and to drive the continuing success of the university. </w:t>
      </w:r>
    </w:p>
    <w:p>
      <w:pPr>
        <w:pStyle w:val="NormalWeb"/>
        <w:spacing w:line="240" w:lineRule="auto"/>
        <w:rPr>
          <w:rFonts w:ascii="Calibri" w:hAnsi="Calibri" w:eastAsia="Calibri" w:cs="Calibri"/>
          <w:bCs/>
          <w:sz w:val="22"/>
          <w:szCs w:val="22"/>
        </w:rPr>
      </w:pPr>
      <w:r>
        <w:rPr>
          <w:rFonts w:ascii="Calibri" w:hAnsi="Calibri" w:eastAsia="Calibri" w:cs="Calibri"/>
          <w:b/>
          <w:sz w:val="22"/>
          <w:szCs w:val="22"/>
        </w:rPr>
        <w:t xml:space="preserve">Our university</w:t>
      </w:r>
      <w:r>
        <w:rPr>
          <w:rFonts w:ascii="Calibri" w:hAnsi="Calibri" w:eastAsia="Calibri" w:cs="Calibri"/>
          <w:bCs/>
          <w:sz w:val="22"/>
          <w:szCs w:val="22"/>
        </w:rPr>
        <w:t xml:space="preserve"> will be the first choice for students, employers, professional bodies, civic organisations and other partners and will engage with them creatively and effectively to meet their needs. </w:t>
      </w:r>
    </w:p>
    <w:p>
      <w:pPr>
        <w:pStyle w:val="NormalWeb"/>
        <w:spacing w:line="240" w:lineRule="auto"/>
        <w:rPr>
          <w:rFonts w:ascii="Calibri" w:hAnsi="Calibri" w:eastAsia="Calibri" w:cs="Calibri"/>
          <w:bCs/>
          <w:sz w:val="22"/>
          <w:szCs w:val="22"/>
        </w:rPr>
      </w:pPr>
      <w:r>
        <w:rPr>
          <w:rFonts w:ascii="Calibri" w:hAnsi="Calibri" w:eastAsia="Calibri" w:cs="Calibri"/>
          <w:b/>
          <w:sz w:val="22"/>
          <w:szCs w:val="22"/>
        </w:rPr>
        <w:t xml:space="preserve">Our communities</w:t>
      </w:r>
      <w:r>
        <w:rPr>
          <w:rFonts w:ascii="Calibri" w:hAnsi="Calibri" w:eastAsia="Calibri" w:cs="Calibri"/>
          <w:bCs/>
          <w:sz w:val="22"/>
          <w:szCs w:val="22"/>
        </w:rPr>
        <w:t xml:space="preserve"> will be shaped by the demonstrable impact we and our graduates have on their intellectual, social, cultural and economic development.</w:t>
      </w:r>
    </w:p>
    <w:p>
      <w:pPr>
        <w:pStyle w:val="Heading3"/>
        <w:spacing w:line="240" w:lineRule="auto"/>
        <w:rPr>
          <w:rFonts w:ascii="Calibri" w:hAnsi="Calibri" w:eastAsia="Calibri" w:cs="Calibri"/>
          <w:color w:val="auto"/>
          <w:sz w:val="22"/>
          <w:szCs w:val="22"/>
          <w:u w:val="single"/>
        </w:rPr>
      </w:pPr>
      <w:r>
        <w:rPr>
          <w:rFonts w:ascii="Calibri" w:hAnsi="Calibri" w:eastAsia="Calibri" w:cs="Calibri"/>
          <w:color w:val="auto"/>
          <w:sz w:val="22"/>
          <w:szCs w:val="22"/>
          <w:u w:val="single"/>
        </w:rPr>
        <w:t xml:space="preserve">1.3</w:t>
      </w:r>
      <w:r>
        <w:rPr>
          <w:rFonts w:ascii="Calibri" w:hAnsi="Calibri" w:eastAsia="Calibri" w:cs="Calibri"/>
          <w:color w:val="auto"/>
          <w:sz w:val="22"/>
          <w:szCs w:val="22"/>
          <w:u w:val="single"/>
        </w:rPr>
        <w:tab/>
        <w:t xml:space="preserve"/>
      </w:r>
      <w:r>
        <w:rPr>
          <w:rFonts w:ascii="Calibri" w:hAnsi="Calibri" w:eastAsia="Calibri" w:cs="Calibri"/>
          <w:color w:val="auto"/>
          <w:sz w:val="22"/>
          <w:szCs w:val="22"/>
          <w:u w:val="single"/>
        </w:rPr>
        <w:t xml:space="preserve">Our Approach to Academic Collaboration and Partnerships</w:t>
      </w:r>
    </w:p>
    <w:p>
      <w:pPr>
        <w:spacing w:line="240" w:lineRule="auto"/>
        <w:rPr>
          <w:rFonts w:ascii="Calibri" w:hAnsi="Calibri" w:eastAsia="Calibri" w:cs="Calibri"/>
          <w:bCs/>
          <w:sz w:val="22"/>
          <w:szCs w:val="22"/>
        </w:rPr>
      </w:pPr>
      <w:r>
        <w:rPr>
          <w:rFonts w:ascii="Calibri" w:hAnsi="Calibri" w:eastAsia="Calibri" w:cs="Tahoma"/>
          <w:bCs/>
          <w:sz w:val="22"/>
          <w:szCs w:val="22"/>
        </w:rPr>
        <w:t xml:space="preserve">The University</w:t>
      </w:r>
      <w:r>
        <w:rPr>
          <w:rFonts w:ascii="Calibri" w:hAnsi="Calibri" w:eastAsia="Calibri" w:cs="Calibri"/>
          <w:bCs/>
          <w:sz w:val="22"/>
          <w:szCs w:val="22"/>
        </w:rPr>
        <w:t xml:space="preserve"> </w:t>
      </w:r>
      <w:r>
        <w:rPr>
          <w:rFonts w:ascii="Calibri" w:hAnsi="Calibri" w:eastAsia="Calibri" w:cs="Calibri"/>
          <w:bCs/>
          <w:sz w:val="22"/>
          <w:szCs w:val="22"/>
        </w:rPr>
        <w:t xml:space="preserve">recognises the transformational nature of Higher Education and as such it is </w:t>
      </w:r>
      <w:r>
        <w:rPr>
          <w:rFonts w:ascii="Calibri" w:hAnsi="Calibri" w:eastAsia="Calibri" w:cs="Calibri"/>
          <w:bCs/>
          <w:sz w:val="22"/>
          <w:szCs w:val="22"/>
        </w:rPr>
        <w:t xml:space="preserve">committed to providing </w:t>
      </w:r>
      <w:r>
        <w:rPr>
          <w:rFonts w:ascii="Calibri" w:hAnsi="Calibri" w:eastAsia="Calibri" w:cs="Calibri"/>
          <w:bCs/>
          <w:sz w:val="22"/>
          <w:szCs w:val="22"/>
        </w:rPr>
        <w:t xml:space="preserve">and promoting excellent and </w:t>
      </w:r>
      <w:r>
        <w:rPr>
          <w:rFonts w:ascii="Calibri" w:hAnsi="Calibri" w:eastAsia="Calibri" w:cs="Calibri"/>
          <w:bCs/>
          <w:sz w:val="22"/>
          <w:szCs w:val="22"/>
        </w:rPr>
        <w:t xml:space="preserve">accessible higher education</w:t>
      </w:r>
      <w:r>
        <w:rPr>
          <w:rFonts w:ascii="Calibri" w:hAnsi="Calibri" w:eastAsia="Calibri" w:cs="Calibri"/>
          <w:bCs/>
          <w:sz w:val="22"/>
          <w:szCs w:val="22"/>
        </w:rPr>
        <w:t xml:space="preserve"> locally, regionally, nationally and internationally.</w:t>
      </w:r>
      <w:r>
        <w:rPr>
          <w:rFonts w:ascii="Calibri" w:hAnsi="Calibri" w:eastAsia="Calibri" w:cs="Calibri"/>
          <w:bCs/>
          <w:sz w:val="22"/>
          <w:szCs w:val="22"/>
        </w:rPr>
        <w:t xml:space="preserve"> Consistent with its mission the University will </w:t>
      </w:r>
      <w:r>
        <w:rPr>
          <w:rFonts w:ascii="Calibri" w:hAnsi="Calibri" w:eastAsia="Calibri" w:cs="Calibri"/>
          <w:b/>
          <w:bCs/>
          <w:i/>
          <w:sz w:val="22"/>
          <w:szCs w:val="22"/>
        </w:rPr>
        <w:t xml:space="preserve">provide</w:t>
      </w:r>
      <w:r>
        <w:rPr>
          <w:rFonts w:ascii="Calibri" w:hAnsi="Calibri" w:eastAsia="Calibri" w:cs="Calibri"/>
          <w:b/>
          <w:bCs/>
          <w:i/>
          <w:sz w:val="22"/>
          <w:szCs w:val="22"/>
        </w:rPr>
        <w:t xml:space="preserve"> </w:t>
      </w:r>
      <w:r>
        <w:rPr>
          <w:rFonts w:ascii="Calibri" w:hAnsi="Calibri" w:eastAsia="Calibri" w:cs="Calibri"/>
          <w:bCs/>
          <w:sz w:val="22"/>
          <w:szCs w:val="22"/>
        </w:rPr>
        <w:t xml:space="preserve">and </w:t>
      </w:r>
      <w:r>
        <w:rPr>
          <w:rFonts w:ascii="Calibri" w:hAnsi="Calibri" w:eastAsia="Calibri" w:cs="Calibri"/>
          <w:b/>
          <w:bCs/>
          <w:i/>
          <w:sz w:val="22"/>
          <w:szCs w:val="22"/>
        </w:rPr>
        <w:t xml:space="preserve">promote</w:t>
      </w:r>
      <w:r>
        <w:rPr>
          <w:rFonts w:ascii="Calibri" w:hAnsi="Calibri" w:eastAsia="Calibri" w:cs="Calibri"/>
          <w:bCs/>
          <w:sz w:val="22"/>
          <w:szCs w:val="22"/>
        </w:rPr>
        <w:t xml:space="preserve"> excellent and </w:t>
      </w:r>
      <w:r>
        <w:rPr>
          <w:rFonts w:ascii="Calibri" w:hAnsi="Calibri" w:eastAsia="Calibri" w:cs="Calibri"/>
          <w:bCs/>
          <w:sz w:val="22"/>
          <w:szCs w:val="22"/>
        </w:rPr>
        <w:t xml:space="preserve">accessible higher education</w:t>
      </w:r>
      <w:r>
        <w:rPr>
          <w:rFonts w:ascii="Calibri" w:hAnsi="Calibri" w:eastAsia="Calibri" w:cs="Calibri"/>
          <w:bCs/>
          <w:sz w:val="22"/>
          <w:szCs w:val="22"/>
        </w:rPr>
        <w:t xml:space="preserve"> through working in a range of collaborations and partnerships with relevant and appropriate partners, including formal Academic Collaborative Partnerships. As such t</w:t>
      </w:r>
      <w:r>
        <w:rPr>
          <w:rFonts w:ascii="Calibri" w:hAnsi="Calibri" w:eastAsia="Calibri" w:cs="Calibri"/>
          <w:bCs/>
          <w:sz w:val="22"/>
          <w:szCs w:val="22"/>
        </w:rPr>
        <w:t xml:space="preserve">he University </w:t>
      </w:r>
      <w:r>
        <w:rPr>
          <w:rFonts w:ascii="Calibri" w:hAnsi="Calibri" w:eastAsia="Calibri" w:cs="Tahoma"/>
          <w:bCs/>
          <w:sz w:val="22"/>
          <w:szCs w:val="22"/>
        </w:rPr>
        <w:t xml:space="preserve">recognises the value of </w:t>
      </w:r>
      <w:r>
        <w:rPr>
          <w:rFonts w:ascii="Calibri" w:hAnsi="Calibri" w:eastAsia="Calibri" w:cs="Calibri"/>
          <w:bCs/>
          <w:sz w:val="22"/>
          <w:szCs w:val="22"/>
        </w:rPr>
        <w:t xml:space="preserve">Academic Collaborative Partnerships</w:t>
      </w:r>
      <w:r>
        <w:rPr>
          <w:rFonts w:ascii="Calibri" w:hAnsi="Calibri" w:eastAsia="Calibri" w:cs="Tahoma"/>
          <w:bCs/>
          <w:sz w:val="22"/>
          <w:szCs w:val="22"/>
        </w:rPr>
        <w:t xml:space="preserve"> </w:t>
      </w:r>
      <w:r>
        <w:rPr>
          <w:rFonts w:ascii="Calibri" w:hAnsi="Calibri" w:eastAsia="Calibri" w:cs="Tahoma"/>
          <w:bCs/>
          <w:sz w:val="22"/>
          <w:szCs w:val="22"/>
        </w:rPr>
        <w:t xml:space="preserve">alongside other models of partnerships in enabling it to deliver its m</w:t>
      </w:r>
      <w:r>
        <w:rPr>
          <w:rFonts w:ascii="Calibri" w:hAnsi="Calibri" w:eastAsia="Calibri" w:cs="Tahoma"/>
          <w:bCs/>
          <w:sz w:val="22"/>
          <w:szCs w:val="22"/>
        </w:rPr>
        <w:t xml:space="preserve">ission</w:t>
      </w:r>
      <w:r>
        <w:rPr>
          <w:rFonts w:ascii="Calibri" w:hAnsi="Calibri" w:eastAsia="Calibri" w:cs="Tahoma"/>
          <w:bCs/>
          <w:sz w:val="22"/>
          <w:szCs w:val="22"/>
        </w:rPr>
        <w:t xml:space="preserve"> by extending its reach, capacity and capability</w:t>
      </w:r>
      <w:r>
        <w:rPr>
          <w:rFonts w:ascii="Calibri" w:hAnsi="Calibri" w:eastAsia="Calibri" w:cs="Tahoma"/>
          <w:bCs/>
          <w:sz w:val="22"/>
          <w:szCs w:val="22"/>
        </w:rPr>
        <w:t xml:space="preserve"> and it </w:t>
      </w:r>
      <w:r>
        <w:rPr>
          <w:rFonts w:ascii="Calibri" w:hAnsi="Calibri" w:eastAsia="Calibri" w:cs="Calibri"/>
          <w:bCs/>
          <w:sz w:val="22"/>
          <w:szCs w:val="22"/>
        </w:rPr>
        <w:t xml:space="preserve">places a high value on developing strong </w:t>
      </w:r>
      <w:r>
        <w:rPr>
          <w:rFonts w:ascii="Calibri" w:hAnsi="Calibri" w:eastAsia="Calibri" w:cs="Calibri"/>
          <w:bCs/>
          <w:sz w:val="22"/>
          <w:szCs w:val="22"/>
        </w:rPr>
        <w:t xml:space="preserve">partnerships </w:t>
      </w:r>
      <w:r>
        <w:rPr>
          <w:rFonts w:ascii="Calibri" w:hAnsi="Calibri" w:eastAsia="Calibri" w:cs="Calibri"/>
          <w:bCs/>
          <w:sz w:val="22"/>
          <w:szCs w:val="22"/>
        </w:rPr>
        <w:t xml:space="preserve">locally, regionally, </w:t>
      </w:r>
      <w:r>
        <w:rPr>
          <w:rFonts w:ascii="Calibri" w:hAnsi="Calibri" w:eastAsia="Calibri" w:cs="Calibri"/>
          <w:bCs/>
          <w:sz w:val="22"/>
          <w:szCs w:val="22"/>
        </w:rPr>
        <w:t xml:space="preserve">nationally, internationally and within Europe.</w:t>
      </w:r>
    </w:p>
    <w:p>
      <w:pPr>
        <w:spacing w:line="240" w:lineRule="auto"/>
        <w:rPr>
          <w:rFonts w:ascii="Calibri" w:hAnsi="Calibri" w:eastAsia="Calibri" w:cs="Tahoma"/>
          <w:bCs/>
          <w:sz w:val="22"/>
          <w:szCs w:val="22"/>
        </w:rPr>
      </w:pPr>
    </w:p>
    <w:p>
      <w:pPr>
        <w:spacing w:line="240" w:lineRule="auto"/>
        <w:rPr>
          <w:rFonts w:ascii="Calibri" w:hAnsi="Calibri" w:eastAsia="Calibri" w:cs="Tahoma"/>
          <w:b/>
          <w:bCs/>
          <w:sz w:val="22"/>
          <w:szCs w:val="22"/>
        </w:rPr>
      </w:pPr>
      <w:r>
        <w:rPr>
          <w:rFonts w:ascii="Calibri" w:hAnsi="Calibri" w:eastAsia="Calibri" w:cs="Calibri"/>
          <w:b/>
          <w:sz w:val="22"/>
          <w:szCs w:val="22"/>
        </w:rPr>
        <w:t xml:space="preserve">2. </w:t>
      </w:r>
      <w:r>
        <w:rPr>
          <w:rFonts w:ascii="Calibri" w:hAnsi="Calibri" w:eastAsia="Calibri" w:cs="Calibri"/>
          <w:b/>
          <w:sz w:val="22"/>
          <w:szCs w:val="22"/>
        </w:rPr>
        <w:tab/>
        <w:t xml:space="preserve"/>
      </w:r>
      <w:r>
        <w:rPr>
          <w:rFonts w:ascii="Calibri" w:hAnsi="Calibri" w:eastAsia="Calibri" w:cs="Tahoma"/>
          <w:b/>
          <w:bCs/>
          <w:sz w:val="22"/>
          <w:szCs w:val="22"/>
        </w:rPr>
        <w:t xml:space="preserve">The University of Cumbria’s Definition and Models of </w:t>
      </w:r>
      <w:r>
        <w:rPr>
          <w:rFonts w:ascii="Calibri" w:hAnsi="Calibri" w:eastAsia="Calibri" w:cs="Tahoma"/>
          <w:b/>
          <w:bCs/>
          <w:sz w:val="22"/>
          <w:szCs w:val="22"/>
        </w:rPr>
        <w:t xml:space="preserve">Academic </w:t>
      </w:r>
      <w:r>
        <w:rPr>
          <w:rFonts w:ascii="Calibri" w:hAnsi="Calibri" w:eastAsia="Calibri" w:cs="Tahoma"/>
          <w:b/>
          <w:bCs/>
          <w:sz w:val="22"/>
          <w:szCs w:val="22"/>
        </w:rPr>
        <w:t xml:space="preserve">Collaborative Provision </w:t>
      </w:r>
    </w:p>
    <w:p>
      <w:pPr>
        <w:spacing w:before="100" w:beforeAutospacing="1" w:after="60" w:line="240" w:lineRule="auto"/>
        <w:rPr>
          <w:rFonts w:ascii="Calibri" w:hAnsi="Calibri" w:eastAsia="Calibri" w:cs="Tahoma"/>
          <w:sz w:val="22"/>
          <w:szCs w:val="22"/>
        </w:rPr>
      </w:pPr>
      <w:r>
        <w:rPr>
          <w:rFonts w:ascii="Calibri" w:hAnsi="Calibri" w:eastAsia="Calibri" w:cs="Tahoma"/>
          <w:sz w:val="22"/>
          <w:szCs w:val="22"/>
        </w:rPr>
        <w:t xml:space="preserve">Across the breadth of its provision, the University recognises the QAA’s definition for working with others; ‘The management of all learning opportunities leading or contributing to the award of academic credit or a qualification that are delivered, assessed or supported through an arrangement with one or more organisations other than the degree-awarding body’ (</w:t>
      </w:r>
      <w:hyperlink r:id="rId2" w:history="1">
        <w:r>
          <w:rPr>
            <w:rFonts w:ascii="Calibri" w:hAnsi="Calibri" w:eastAsia="Calibri" w:cs="Tahoma"/>
            <w:sz w:val="22"/>
            <w:szCs w:val="22"/>
          </w:rPr>
          <w:t xml:space="preserve">Quality Code Chapter B10: Managing Higher Education Provision with Others</w:t>
        </w:r>
      </w:hyperlink>
      <w:r>
        <w:rPr>
          <w:rFonts w:ascii="Calibri" w:hAnsi="Calibri" w:eastAsia="Calibri" w:cs="Tahoma"/>
          <w:sz w:val="22"/>
          <w:szCs w:val="22"/>
        </w:rPr>
        <w:t xml:space="preserve">, page 3). </w:t>
      </w:r>
      <w:r>
        <w:rPr>
          <w:rFonts w:ascii="Calibri" w:hAnsi="Calibri" w:eastAsia="Calibri" w:cs="Tahoma"/>
          <w:sz w:val="22"/>
          <w:szCs w:val="22"/>
        </w:rPr>
        <w:t xml:space="preserve">Within th</w:t>
      </w:r>
      <w:r>
        <w:rPr>
          <w:rFonts w:ascii="Calibri" w:hAnsi="Calibri" w:eastAsia="Calibri" w:cs="Tahoma"/>
          <w:sz w:val="22"/>
          <w:szCs w:val="22"/>
        </w:rPr>
        <w:t xml:space="preserve">is </w:t>
      </w:r>
      <w:r>
        <w:rPr>
          <w:rFonts w:ascii="Calibri" w:hAnsi="Calibri" w:eastAsia="Calibri" w:cs="Tahoma"/>
          <w:sz w:val="22"/>
          <w:szCs w:val="22"/>
        </w:rPr>
        <w:t xml:space="preserve">definition the University has identified </w:t>
      </w:r>
      <w:r>
        <w:rPr>
          <w:rFonts w:ascii="Calibri" w:hAnsi="Calibri" w:eastAsia="Calibri" w:cs="Tahoma"/>
          <w:sz w:val="22"/>
          <w:szCs w:val="22"/>
        </w:rPr>
        <w:t xml:space="preserve">a </w:t>
      </w:r>
      <w:r>
        <w:rPr>
          <w:rFonts w:ascii="Calibri" w:hAnsi="Calibri" w:eastAsia="Calibri" w:cs="Tahoma"/>
          <w:sz w:val="22"/>
          <w:szCs w:val="22"/>
        </w:rPr>
        <w:t xml:space="preserve">taxonomy of working with others</w:t>
      </w:r>
      <w:r>
        <w:rPr>
          <w:rFonts w:ascii="Calibri" w:hAnsi="Calibri" w:eastAsia="Calibri" w:cs="Tahoma"/>
          <w:sz w:val="22"/>
          <w:szCs w:val="22"/>
        </w:rPr>
        <w:t xml:space="preserve"> (see appendix 1).</w:t>
      </w:r>
    </w:p>
    <w:p>
      <w:pPr>
        <w:spacing w:before="100" w:beforeAutospacing="1" w:after="60" w:line="240" w:lineRule="auto"/>
        <w:rPr>
          <w:rFonts w:ascii="Calibri" w:hAnsi="Calibri" w:eastAsia="Calibri" w:cs="Tahoma"/>
          <w:sz w:val="22"/>
          <w:szCs w:val="22"/>
        </w:rPr>
      </w:pPr>
      <w:r>
        <w:rPr>
          <w:rFonts w:ascii="Calibri" w:hAnsi="Calibri" w:eastAsia="Calibri" w:cs="Tahoma"/>
          <w:sz w:val="22"/>
          <w:szCs w:val="22"/>
        </w:rPr>
        <w:t xml:space="preserve">I</w:t>
      </w:r>
      <w:r>
        <w:rPr>
          <w:rFonts w:ascii="Calibri" w:hAnsi="Calibri" w:eastAsia="Calibri" w:cs="Tahoma"/>
          <w:sz w:val="22"/>
          <w:szCs w:val="22"/>
        </w:rPr>
        <w:t xml:space="preserve">n general terms, arrangements whereby delivery and/or assessment of academic content leading to the achievement of University award is undertaken by another organisation pose a high</w:t>
      </w:r>
      <w:r>
        <w:rPr>
          <w:rFonts w:ascii="Calibri" w:hAnsi="Calibri" w:eastAsia="Calibri" w:cs="Tahoma"/>
          <w:sz w:val="22"/>
          <w:szCs w:val="22"/>
        </w:rPr>
        <w:t xml:space="preserve">er</w:t>
      </w:r>
      <w:r>
        <w:rPr>
          <w:rFonts w:ascii="Calibri" w:hAnsi="Calibri" w:eastAsia="Calibri" w:cs="Tahoma"/>
          <w:sz w:val="22"/>
          <w:szCs w:val="22"/>
        </w:rPr>
        <w:t xml:space="preserve"> threat to the University’s ability to safeguard its Academic Standards.  For this reason, these forms of </w:t>
      </w:r>
      <w:r>
        <w:rPr>
          <w:rFonts w:ascii="Calibri" w:hAnsi="Calibri" w:eastAsia="Calibri" w:cs="Tahoma"/>
          <w:sz w:val="22"/>
          <w:szCs w:val="22"/>
        </w:rPr>
        <w:t xml:space="preserve">‘</w:t>
      </w:r>
      <w:r>
        <w:rPr>
          <w:rFonts w:ascii="Calibri" w:hAnsi="Calibri" w:eastAsia="Calibri" w:cs="Tahoma"/>
          <w:sz w:val="22"/>
          <w:szCs w:val="22"/>
        </w:rPr>
        <w:t xml:space="preserve">Working With Others</w:t>
      </w:r>
      <w:r>
        <w:rPr>
          <w:rFonts w:ascii="Calibri" w:hAnsi="Calibri" w:eastAsia="Calibri" w:cs="Tahoma"/>
          <w:sz w:val="22"/>
          <w:szCs w:val="22"/>
        </w:rPr>
        <w:t xml:space="preserve">’</w:t>
      </w:r>
      <w:r>
        <w:rPr>
          <w:rFonts w:ascii="Calibri" w:hAnsi="Calibri" w:eastAsia="Calibri" w:cs="Tahoma"/>
          <w:sz w:val="22"/>
          <w:szCs w:val="22"/>
        </w:rPr>
        <w:t xml:space="preserve"> are referred to as </w:t>
      </w:r>
      <w:r>
        <w:rPr>
          <w:rFonts w:ascii="Calibri" w:hAnsi="Calibri" w:eastAsia="Calibri" w:cs="Tahoma"/>
          <w:sz w:val="22"/>
          <w:szCs w:val="22"/>
        </w:rPr>
        <w:t xml:space="preserve">‘Academic </w:t>
      </w:r>
      <w:r>
        <w:rPr>
          <w:rFonts w:ascii="Calibri" w:hAnsi="Calibri" w:eastAsia="Calibri" w:cs="Tahoma"/>
          <w:sz w:val="22"/>
          <w:szCs w:val="22"/>
        </w:rPr>
        <w:t xml:space="preserve">Collaborative </w:t>
      </w:r>
      <w:r>
        <w:rPr>
          <w:rFonts w:ascii="Calibri" w:hAnsi="Calibri" w:eastAsia="Calibri" w:cs="Tahoma"/>
          <w:sz w:val="22"/>
          <w:szCs w:val="22"/>
        </w:rPr>
        <w:t xml:space="preserve">Provision’ (see </w:t>
      </w:r>
      <w:r>
        <w:rPr>
          <w:rFonts w:ascii="Calibri" w:hAnsi="Calibri" w:eastAsia="Calibri" w:cs="Tahoma"/>
          <w:sz w:val="22"/>
          <w:szCs w:val="22"/>
        </w:rPr>
        <w:t xml:space="preserve">A</w:t>
      </w:r>
      <w:r>
        <w:rPr>
          <w:rFonts w:ascii="Calibri" w:hAnsi="Calibri" w:eastAsia="Calibri" w:cs="Tahoma"/>
          <w:sz w:val="22"/>
          <w:szCs w:val="22"/>
        </w:rPr>
        <w:t xml:space="preserve">ppendix 1):</w:t>
      </w:r>
    </w:p>
    <w:p>
      <w:pPr>
        <w:pStyle w:val="ListParagraph"/>
        <w:spacing w:line="240" w:lineRule="auto"/>
        <w:ind w:left="0"/>
        <w:rPr>
          <w:rFonts w:ascii="Calibri" w:hAnsi="Calibri" w:eastAsia="Times New Roman" w:cs="Tahoma"/>
          <w:bCs/>
          <w:sz w:val="22"/>
          <w:szCs w:val="22"/>
        </w:rPr>
      </w:pPr>
    </w:p>
    <w:p>
      <w:pPr>
        <w:spacing w:line="240" w:lineRule="auto"/>
        <w:jc w:val="both"/>
        <w:rPr>
          <w:rFonts w:ascii="Calibri" w:hAnsi="Calibri" w:eastAsia="Calibri" w:cs="Calibri"/>
          <w:b/>
          <w:sz w:val="22"/>
          <w:szCs w:val="22"/>
        </w:rPr>
      </w:pPr>
      <w:r>
        <w:rPr>
          <w:rFonts w:ascii="Calibri" w:hAnsi="Calibri" w:eastAsia="Calibri" w:cs="Tahoma"/>
          <w:b/>
          <w:bCs/>
          <w:sz w:val="22"/>
          <w:szCs w:val="22"/>
        </w:rPr>
        <w:t xml:space="preserve">3</w:t>
      </w:r>
      <w:r>
        <w:rPr>
          <w:rFonts w:ascii="Calibri" w:hAnsi="Calibri" w:eastAsia="Calibri" w:cs="Tahoma"/>
          <w:b/>
          <w:bCs/>
          <w:sz w:val="22"/>
          <w:szCs w:val="22"/>
        </w:rPr>
        <w:t xml:space="preserve">.</w:t>
      </w:r>
      <w:r>
        <w:rPr>
          <w:rFonts w:ascii="Calibri" w:hAnsi="Calibri" w:eastAsia="Calibri" w:cs="Tahoma"/>
          <w:b/>
          <w:bCs/>
          <w:sz w:val="22"/>
          <w:szCs w:val="22"/>
        </w:rPr>
        <w:tab/>
        <w:t xml:space="preserve"/>
      </w:r>
      <w:r>
        <w:rPr>
          <w:rFonts w:ascii="Calibri" w:hAnsi="Calibri" w:eastAsia="Calibri" w:cs="Calibri"/>
          <w:b/>
          <w:sz w:val="22"/>
          <w:szCs w:val="22"/>
        </w:rPr>
        <w:t xml:space="preserve">Future Direction</w:t>
      </w:r>
      <w:r>
        <w:rPr>
          <w:rFonts w:ascii="Calibri" w:hAnsi="Calibri" w:eastAsia="Calibri" w:cs="Calibri"/>
          <w:b/>
          <w:sz w:val="22"/>
          <w:szCs w:val="22"/>
        </w:rPr>
        <w:t xml:space="preserve"> for Academic Collaborative Provision </w:t>
      </w:r>
    </w:p>
    <w:p>
      <w:pPr>
        <w:spacing w:line="240" w:lineRule="auto"/>
        <w:jc w:val="both"/>
        <w:rPr>
          <w:rFonts w:ascii="Calibri" w:hAnsi="Calibri" w:eastAsia="Calibri" w:cs="Calibri"/>
          <w:b/>
          <w:sz w:val="22"/>
          <w:szCs w:val="22"/>
        </w:rPr>
      </w:pPr>
    </w:p>
    <w:p>
      <w:pPr>
        <w:spacing w:line="240" w:lineRule="auto"/>
        <w:rPr>
          <w:rFonts w:ascii="Calibri" w:hAnsi="Calibri" w:eastAsia="Calibri" w:cs="Tahoma"/>
          <w:bCs/>
          <w:sz w:val="22"/>
          <w:szCs w:val="22"/>
        </w:rPr>
      </w:pPr>
      <w:r>
        <w:rPr>
          <w:rFonts w:ascii="Calibri" w:hAnsi="Calibri" w:eastAsia="Calibri" w:cs="Tahoma"/>
          <w:bCs/>
          <w:sz w:val="22"/>
          <w:szCs w:val="22"/>
        </w:rPr>
        <w:t xml:space="preserve">The University will</w:t>
      </w:r>
      <w:r>
        <w:rPr>
          <w:rFonts w:ascii="Calibri" w:hAnsi="Calibri" w:eastAsia="Calibri" w:cs="Tahoma"/>
          <w:bCs/>
          <w:sz w:val="22"/>
          <w:szCs w:val="22"/>
        </w:rPr>
        <w:t xml:space="preserve">:</w:t>
      </w:r>
    </w:p>
    <w:p>
      <w:pPr>
        <w:numPr>
          <w:ilvl w:val="0"/>
          <w:numId w:val="17"/>
        </w:numPr>
        <w:spacing w:line="240" w:lineRule="auto"/>
        <w:rPr>
          <w:rFonts w:ascii="Calibri" w:hAnsi="Calibri" w:eastAsia="Calibri" w:cs="Tahoma"/>
          <w:bCs/>
          <w:sz w:val="22"/>
          <w:szCs w:val="22"/>
        </w:rPr>
      </w:pPr>
      <w:r>
        <w:rPr>
          <w:rFonts w:ascii="Calibri" w:hAnsi="Calibri" w:eastAsia="Calibri" w:cs="Tahoma"/>
          <w:bCs/>
          <w:sz w:val="22"/>
          <w:szCs w:val="22"/>
        </w:rPr>
        <w:t xml:space="preserve">develop </w:t>
      </w:r>
      <w:r>
        <w:rPr>
          <w:rFonts w:ascii="Calibri" w:hAnsi="Calibri" w:eastAsia="Calibri" w:cs="Tahoma"/>
          <w:bCs/>
          <w:sz w:val="22"/>
          <w:szCs w:val="22"/>
        </w:rPr>
        <w:t xml:space="preserve">Academic Collaborative Provision (ACP) </w:t>
      </w:r>
      <w:r>
        <w:rPr>
          <w:rFonts w:ascii="Calibri" w:hAnsi="Calibri" w:eastAsia="Calibri" w:cs="Tahoma"/>
          <w:bCs/>
          <w:sz w:val="22"/>
          <w:szCs w:val="22"/>
        </w:rPr>
        <w:t xml:space="preserve">which enables it to </w:t>
      </w:r>
      <w:r>
        <w:rPr>
          <w:rFonts w:ascii="Calibri" w:hAnsi="Calibri" w:eastAsia="Calibri" w:cs="Calibri"/>
          <w:bCs/>
          <w:sz w:val="22"/>
          <w:szCs w:val="22"/>
        </w:rPr>
        <w:t xml:space="preserve">provide and promote excellent and accessible higher education</w:t>
      </w:r>
      <w:r>
        <w:rPr>
          <w:rFonts w:ascii="Calibri" w:hAnsi="Calibri" w:eastAsia="Calibri" w:cs="Calibri"/>
          <w:bCs/>
          <w:sz w:val="22"/>
          <w:szCs w:val="22"/>
        </w:rPr>
        <w:t xml:space="preserve">;</w:t>
      </w:r>
    </w:p>
    <w:p>
      <w:pPr>
        <w:spacing w:line="240" w:lineRule="auto"/>
        <w:ind w:left="720"/>
        <w:rPr>
          <w:rFonts w:ascii="Calibri" w:hAnsi="Calibri" w:eastAsia="Calibri" w:cs="Tahoma"/>
          <w:bCs/>
          <w:sz w:val="22"/>
          <w:szCs w:val="22"/>
        </w:rPr>
      </w:pPr>
    </w:p>
    <w:p>
      <w:pPr>
        <w:numPr>
          <w:ilvl w:val="0"/>
          <w:numId w:val="17"/>
        </w:numPr>
        <w:spacing w:line="240" w:lineRule="auto"/>
        <w:rPr>
          <w:rFonts w:ascii="Calibri" w:hAnsi="Calibri" w:eastAsia="Calibri" w:cs="Tahoma"/>
          <w:bCs/>
          <w:sz w:val="22"/>
          <w:szCs w:val="22"/>
        </w:rPr>
      </w:pPr>
      <w:r>
        <w:rPr>
          <w:rFonts w:ascii="Calibri" w:hAnsi="Calibri" w:eastAsia="Calibri" w:cs="Tahoma"/>
          <w:bCs/>
          <w:sz w:val="22"/>
          <w:szCs w:val="22"/>
        </w:rPr>
        <w:t xml:space="preserve">continue to develop its </w:t>
      </w:r>
      <w:r>
        <w:rPr>
          <w:rFonts w:ascii="Calibri" w:hAnsi="Calibri" w:eastAsia="Calibri" w:cs="Tahoma"/>
          <w:bCs/>
          <w:sz w:val="22"/>
          <w:szCs w:val="22"/>
        </w:rPr>
        <w:t xml:space="preserve">ACP</w:t>
      </w:r>
      <w:r>
        <w:rPr>
          <w:rFonts w:ascii="Calibri" w:hAnsi="Calibri" w:eastAsia="Calibri" w:cs="Tahoma"/>
          <w:bCs/>
          <w:sz w:val="22"/>
          <w:szCs w:val="22"/>
        </w:rPr>
        <w:t xml:space="preserve"> within the changing HE and FE context in a staged manner allowing it to realise the full potential of this work whilst managing the risk and maintaining the quality and int</w:t>
      </w:r>
      <w:r>
        <w:rPr>
          <w:rFonts w:ascii="Calibri" w:hAnsi="Calibri" w:eastAsia="Calibri" w:cs="Tahoma"/>
          <w:bCs/>
          <w:sz w:val="22"/>
          <w:szCs w:val="22"/>
        </w:rPr>
        <w:t xml:space="preserve">egrity of its provision;</w:t>
      </w:r>
    </w:p>
    <w:p>
      <w:pPr>
        <w:pStyle w:val="ListParagraph"/>
        <w:spacing w:line="240" w:lineRule="auto"/>
        <w:ind w:left="0"/>
        <w:rPr>
          <w:rFonts w:ascii="Calibri" w:hAnsi="Calibri" w:eastAsia="Times New Roman" w:cs="Tahoma"/>
          <w:bCs/>
          <w:sz w:val="22"/>
          <w:szCs w:val="22"/>
        </w:rPr>
      </w:pPr>
    </w:p>
    <w:p>
      <w:pPr>
        <w:numPr>
          <w:ilvl w:val="0"/>
          <w:numId w:val="17"/>
        </w:numPr>
        <w:spacing w:line="240" w:lineRule="auto"/>
        <w:rPr>
          <w:rFonts w:ascii="Calibri" w:hAnsi="Calibri" w:eastAsia="Calibri" w:cs="Tahoma"/>
          <w:bCs/>
          <w:sz w:val="22"/>
          <w:szCs w:val="22"/>
        </w:rPr>
      </w:pPr>
      <w:r>
        <w:rPr>
          <w:rFonts w:ascii="Calibri" w:hAnsi="Calibri" w:eastAsia="Calibri" w:cs="Tahoma"/>
          <w:bCs/>
          <w:sz w:val="22"/>
          <w:szCs w:val="22"/>
        </w:rPr>
        <w:t xml:space="preserve">support the development of </w:t>
      </w:r>
      <w:r>
        <w:rPr>
          <w:rFonts w:ascii="Calibri" w:hAnsi="Calibri" w:eastAsia="Calibri" w:cs="Tahoma"/>
          <w:bCs/>
          <w:sz w:val="22"/>
          <w:szCs w:val="22"/>
        </w:rPr>
        <w:t xml:space="preserve">ACP </w:t>
      </w:r>
      <w:r>
        <w:rPr>
          <w:rFonts w:ascii="Calibri" w:hAnsi="Calibri" w:eastAsia="Calibri" w:cs="Tahoma"/>
          <w:bCs/>
          <w:sz w:val="22"/>
          <w:szCs w:val="22"/>
        </w:rPr>
        <w:t xml:space="preserve">partnerships which maximise the effort </w:t>
      </w:r>
      <w:r>
        <w:rPr>
          <w:rFonts w:ascii="Calibri" w:hAnsi="Calibri" w:eastAsia="Calibri" w:cs="Tahoma"/>
          <w:bCs/>
          <w:sz w:val="22"/>
          <w:szCs w:val="22"/>
        </w:rPr>
        <w:t xml:space="preserve">and investment </w:t>
      </w:r>
      <w:r>
        <w:rPr>
          <w:rFonts w:ascii="Calibri" w:hAnsi="Calibri" w:eastAsia="Calibri" w:cs="Tahoma"/>
          <w:bCs/>
          <w:sz w:val="22"/>
          <w:szCs w:val="22"/>
        </w:rPr>
        <w:t xml:space="preserve">of the University and make the best strategic and </w:t>
      </w:r>
      <w:r>
        <w:rPr>
          <w:rFonts w:ascii="Calibri" w:hAnsi="Calibri" w:eastAsia="Calibri" w:cs="Tahoma"/>
          <w:bCs/>
          <w:sz w:val="22"/>
          <w:szCs w:val="22"/>
        </w:rPr>
        <w:t xml:space="preserve">most </w:t>
      </w:r>
      <w:r>
        <w:rPr>
          <w:rFonts w:ascii="Calibri" w:hAnsi="Calibri" w:eastAsia="Calibri" w:cs="Tahoma"/>
          <w:bCs/>
          <w:sz w:val="22"/>
          <w:szCs w:val="22"/>
        </w:rPr>
        <w:t xml:space="preserve">sustainable </w:t>
      </w:r>
      <w:r>
        <w:rPr>
          <w:rFonts w:ascii="Calibri" w:hAnsi="Calibri" w:eastAsia="Calibri" w:cs="Tahoma"/>
          <w:bCs/>
          <w:sz w:val="22"/>
          <w:szCs w:val="22"/>
        </w:rPr>
        <w:t xml:space="preserve">financial return</w:t>
      </w:r>
      <w:r>
        <w:rPr>
          <w:rFonts w:ascii="Calibri" w:hAnsi="Calibri" w:eastAsia="Calibri" w:cs="Tahoma"/>
          <w:bCs/>
          <w:sz w:val="22"/>
          <w:szCs w:val="22"/>
        </w:rPr>
        <w:t xml:space="preserve">s</w:t>
      </w:r>
      <w:r>
        <w:rPr>
          <w:rFonts w:ascii="Calibri" w:hAnsi="Calibri" w:eastAsia="Calibri" w:cs="Tahoma"/>
          <w:bCs/>
          <w:sz w:val="22"/>
          <w:szCs w:val="22"/>
        </w:rPr>
        <w:t xml:space="preserve"> for it, whilst ensuring that the quality of </w:t>
      </w:r>
      <w:r>
        <w:rPr>
          <w:rFonts w:ascii="Calibri" w:hAnsi="Calibri" w:eastAsia="Calibri" w:cs="Tahoma"/>
          <w:bCs/>
          <w:sz w:val="22"/>
          <w:szCs w:val="22"/>
        </w:rPr>
        <w:t xml:space="preserve">its </w:t>
      </w:r>
      <w:r>
        <w:rPr>
          <w:rFonts w:ascii="Calibri" w:hAnsi="Calibri" w:eastAsia="Calibri" w:cs="Tahoma"/>
          <w:bCs/>
          <w:sz w:val="22"/>
          <w:szCs w:val="22"/>
        </w:rPr>
        <w:t xml:space="preserve">awards</w:t>
      </w:r>
      <w:r>
        <w:rPr>
          <w:rFonts w:ascii="Calibri" w:hAnsi="Calibri" w:eastAsia="Calibri" w:cs="Tahoma"/>
          <w:bCs/>
          <w:sz w:val="22"/>
          <w:szCs w:val="22"/>
        </w:rPr>
        <w:t xml:space="preserve">, l</w:t>
      </w:r>
      <w:r>
        <w:rPr>
          <w:rFonts w:ascii="Calibri" w:hAnsi="Calibri" w:eastAsia="Calibri" w:cs="Tahoma"/>
          <w:bCs/>
          <w:sz w:val="22"/>
          <w:szCs w:val="22"/>
        </w:rPr>
        <w:t xml:space="preserve">earning </w:t>
      </w:r>
      <w:r>
        <w:rPr>
          <w:rFonts w:ascii="Calibri" w:hAnsi="Calibri" w:eastAsia="Calibri" w:cs="Tahoma"/>
          <w:bCs/>
          <w:sz w:val="22"/>
          <w:szCs w:val="22"/>
        </w:rPr>
        <w:t xml:space="preserve">and the student experience </w:t>
      </w:r>
      <w:r>
        <w:rPr>
          <w:rFonts w:ascii="Calibri" w:hAnsi="Calibri" w:eastAsia="Calibri" w:cs="Tahoma"/>
          <w:bCs/>
          <w:sz w:val="22"/>
          <w:szCs w:val="22"/>
        </w:rPr>
        <w:t xml:space="preserve">are </w:t>
      </w:r>
      <w:r>
        <w:rPr>
          <w:rFonts w:ascii="Calibri" w:hAnsi="Calibri" w:eastAsia="Calibri" w:cs="Tahoma"/>
          <w:bCs/>
          <w:sz w:val="22"/>
          <w:szCs w:val="22"/>
        </w:rPr>
        <w:t xml:space="preserve">maintained;</w:t>
      </w:r>
    </w:p>
    <w:p>
      <w:pPr>
        <w:pStyle w:val="ListParagraph"/>
        <w:spacing w:line="240" w:lineRule="auto"/>
        <w:rPr>
          <w:rFonts w:ascii="Calibri" w:hAnsi="Calibri" w:eastAsia="Times New Roman" w:cs="Tahoma"/>
          <w:bCs/>
          <w:sz w:val="22"/>
          <w:szCs w:val="22"/>
        </w:rPr>
      </w:pPr>
    </w:p>
    <w:p>
      <w:pPr>
        <w:numPr>
          <w:ilvl w:val="0"/>
          <w:numId w:val="17"/>
        </w:numPr>
        <w:spacing w:line="240" w:lineRule="auto"/>
        <w:rPr>
          <w:rFonts w:ascii="Calibri" w:hAnsi="Calibri" w:eastAsia="Calibri" w:cs="Tahoma"/>
          <w:bCs/>
          <w:sz w:val="22"/>
          <w:szCs w:val="22"/>
        </w:rPr>
      </w:pPr>
      <w:r>
        <w:rPr>
          <w:rFonts w:ascii="Calibri" w:hAnsi="Calibri" w:eastAsia="Calibri" w:cs="Tahoma"/>
          <w:bCs/>
          <w:sz w:val="22"/>
          <w:szCs w:val="22"/>
        </w:rPr>
        <w:t xml:space="preserve">differentiate its approach to </w:t>
      </w:r>
      <w:r>
        <w:rPr>
          <w:rFonts w:ascii="Calibri" w:hAnsi="Calibri" w:eastAsia="Calibri" w:cs="Tahoma"/>
          <w:bCs/>
          <w:sz w:val="22"/>
          <w:szCs w:val="22"/>
        </w:rPr>
        <w:t xml:space="preserve">ACP </w:t>
      </w:r>
      <w:r>
        <w:rPr>
          <w:rFonts w:ascii="Calibri" w:hAnsi="Calibri" w:eastAsia="Calibri" w:cs="Tahoma"/>
          <w:bCs/>
          <w:sz w:val="22"/>
          <w:szCs w:val="22"/>
        </w:rPr>
        <w:t xml:space="preserve">partnerships based on a tiered approach</w:t>
      </w:r>
      <w:r>
        <w:rPr>
          <w:rFonts w:ascii="Calibri" w:hAnsi="Calibri" w:eastAsia="Calibri" w:cs="Tahoma"/>
          <w:bCs/>
          <w:sz w:val="22"/>
          <w:szCs w:val="22"/>
        </w:rPr>
        <w:t xml:space="preserve">;</w:t>
      </w:r>
    </w:p>
    <w:p>
      <w:pPr>
        <w:spacing w:line="240" w:lineRule="auto"/>
        <w:rPr>
          <w:rFonts w:ascii="Calibri" w:hAnsi="Calibri" w:eastAsia="Calibri" w:cs="Tahoma"/>
          <w:bCs/>
          <w:sz w:val="22"/>
          <w:szCs w:val="22"/>
        </w:rPr>
      </w:pPr>
    </w:p>
    <w:p>
      <w:pPr>
        <w:numPr>
          <w:ilvl w:val="0"/>
          <w:numId w:val="17"/>
        </w:numPr>
        <w:spacing w:line="240" w:lineRule="auto"/>
        <w:rPr>
          <w:rFonts w:ascii="Calibri" w:hAnsi="Calibri" w:eastAsia="Calibri" w:cs="Tahoma"/>
          <w:bCs/>
          <w:sz w:val="22"/>
          <w:szCs w:val="22"/>
        </w:rPr>
      </w:pPr>
      <w:r>
        <w:rPr>
          <w:rFonts w:ascii="Calibri" w:hAnsi="Calibri" w:eastAsia="Calibri" w:cs="Tahoma"/>
          <w:bCs/>
          <w:sz w:val="22"/>
          <w:szCs w:val="22"/>
        </w:rPr>
        <w:t xml:space="preserve">develop ACP </w:t>
      </w:r>
      <w:r>
        <w:rPr>
          <w:rFonts w:ascii="Calibri" w:hAnsi="Calibri" w:eastAsia="Calibri" w:cs="Tahoma"/>
          <w:bCs/>
          <w:sz w:val="22"/>
          <w:szCs w:val="22"/>
        </w:rPr>
        <w:t xml:space="preserve">with partners who have a clear syn</w:t>
      </w:r>
      <w:r>
        <w:rPr>
          <w:rFonts w:ascii="Calibri" w:hAnsi="Calibri" w:eastAsia="Calibri" w:cs="Tahoma"/>
          <w:bCs/>
          <w:sz w:val="22"/>
          <w:szCs w:val="22"/>
        </w:rPr>
        <w:t xml:space="preserve">ergy with the m</w:t>
      </w:r>
      <w:r>
        <w:rPr>
          <w:rFonts w:ascii="Calibri" w:hAnsi="Calibri" w:eastAsia="Calibri" w:cs="Tahoma"/>
          <w:bCs/>
          <w:sz w:val="22"/>
          <w:szCs w:val="22"/>
        </w:rPr>
        <w:t xml:space="preserve">ission of the University and who provide an excellent and high quality student experience. In deciding whether or not it will enter a partnership it will utilise a set of core principles</w:t>
      </w:r>
      <w:r>
        <w:rPr>
          <w:rFonts w:ascii="Calibri" w:hAnsi="Calibri" w:eastAsia="Calibri" w:cs="Tahoma"/>
          <w:bCs/>
          <w:sz w:val="22"/>
          <w:szCs w:val="22"/>
        </w:rPr>
        <w:t xml:space="preserve"> (see A</w:t>
      </w:r>
      <w:r>
        <w:rPr>
          <w:rFonts w:ascii="Calibri" w:hAnsi="Calibri" w:eastAsia="Calibri" w:cs="Tahoma"/>
          <w:bCs/>
          <w:sz w:val="22"/>
          <w:szCs w:val="22"/>
        </w:rPr>
        <w:t xml:space="preserve">ppendix 2).</w:t>
      </w:r>
      <w:r>
        <w:rPr>
          <w:rFonts w:ascii="Calibri" w:hAnsi="Calibri" w:eastAsia="Calibri" w:cs="Tahoma"/>
          <w:bCs/>
          <w:sz w:val="22"/>
          <w:szCs w:val="22"/>
        </w:rPr>
        <w:t xml:space="preserve"> </w:t>
      </w:r>
    </w:p>
    <w:p>
      <w:pPr>
        <w:spacing w:line="240" w:lineRule="auto"/>
        <w:jc w:val="both"/>
        <w:rPr>
          <w:rFonts w:ascii="Calibri" w:hAnsi="Calibri" w:eastAsia="Calibri" w:cs="Calibri"/>
          <w:b/>
          <w:sz w:val="22"/>
          <w:szCs w:val="22"/>
        </w:rPr>
      </w:pPr>
    </w:p>
    <w:p>
      <w:pPr>
        <w:spacing w:line="240" w:lineRule="auto"/>
        <w:jc w:val="both"/>
        <w:rPr>
          <w:rFonts w:ascii="Calibri" w:hAnsi="Calibri" w:eastAsia="Calibri" w:cs="Calibri"/>
          <w:b/>
          <w:sz w:val="22"/>
          <w:szCs w:val="22"/>
        </w:rPr>
      </w:pPr>
      <w:r>
        <w:rPr>
          <w:rFonts w:ascii="Calibri" w:hAnsi="Calibri" w:eastAsia="Calibri" w:cs="Calibri"/>
          <w:b/>
          <w:sz w:val="22"/>
          <w:szCs w:val="22"/>
        </w:rPr>
        <w:t xml:space="preserve">4.</w:t>
      </w:r>
      <w:r>
        <w:rPr>
          <w:rFonts w:ascii="Calibri" w:hAnsi="Calibri" w:eastAsia="Calibri" w:cs="Calibri"/>
          <w:b/>
          <w:sz w:val="22"/>
          <w:szCs w:val="22"/>
        </w:rPr>
        <w:tab/>
        <w:t xml:space="preserve"/>
      </w:r>
      <w:r>
        <w:rPr>
          <w:rFonts w:ascii="Calibri" w:hAnsi="Calibri" w:eastAsia="Calibri" w:cs="Calibri"/>
          <w:b/>
          <w:sz w:val="22"/>
          <w:szCs w:val="22"/>
        </w:rPr>
        <w:t xml:space="preserve">A Tiered Approach to Academic Partnerships</w:t>
      </w:r>
    </w:p>
    <w:p>
      <w:pPr>
        <w:spacing w:line="240" w:lineRule="auto"/>
        <w:rPr>
          <w:rFonts w:ascii="Calibri" w:hAnsi="Calibri" w:eastAsia="Calibri" w:cs="Tahoma"/>
          <w:bCs/>
          <w:sz w:val="22"/>
          <w:szCs w:val="22"/>
        </w:rPr>
      </w:pPr>
    </w:p>
    <w:p>
      <w:pPr>
        <w:spacing w:line="240" w:lineRule="auto"/>
        <w:rPr>
          <w:rFonts w:ascii="Calibri" w:hAnsi="Calibri" w:eastAsia="Calibri" w:cs="Tahoma"/>
          <w:bCs/>
          <w:sz w:val="22"/>
          <w:szCs w:val="22"/>
        </w:rPr>
      </w:pPr>
      <w:r>
        <w:rPr>
          <w:rFonts w:ascii="Calibri" w:hAnsi="Calibri" w:eastAsia="Calibri" w:cs="Tahoma"/>
          <w:bCs/>
          <w:sz w:val="22"/>
          <w:szCs w:val="22"/>
        </w:rPr>
        <w:t xml:space="preserve">The University has adopted a tiered approach to its partnerships and differentiates its partnership approaches based upon these tiers. When considering the development of a new or existing partnership the University will take a proactive, and not merely reactive, approach to ACP. These tiers are:</w:t>
      </w:r>
    </w:p>
    <w:p>
      <w:pPr>
        <w:spacing w:line="240" w:lineRule="auto"/>
        <w:rPr>
          <w:rFonts w:ascii="Calibri" w:hAnsi="Calibri" w:eastAsia="Calibri" w:cs="Tahoma"/>
          <w:bCs/>
          <w:sz w:val="22"/>
          <w:szCs w:val="22"/>
        </w:rPr>
      </w:pPr>
    </w:p>
    <w:p>
      <w:pPr>
        <w:pStyle w:val="NoSpacing"/>
        <w:numPr>
          <w:ilvl w:val="0"/>
          <w:numId w:val="10"/>
        </w:numPr>
        <w:spacing w:line="240" w:lineRule="auto"/>
        <w:rPr>
          <w:rFonts w:ascii="Calibri" w:hAnsi="Calibri" w:eastAsia="Calibri" w:cs="Tahoma"/>
          <w:bCs/>
          <w:sz w:val="22"/>
          <w:szCs w:val="22"/>
        </w:rPr>
      </w:pPr>
      <w:r>
        <w:rPr>
          <w:rFonts w:ascii="Calibri" w:hAnsi="Calibri" w:eastAsia="Calibri" w:cs="Tahoma"/>
          <w:bCs/>
          <w:sz w:val="22"/>
          <w:szCs w:val="22"/>
        </w:rPr>
        <w:t xml:space="preserve">A Regional Tier (including </w:t>
      </w:r>
      <w:r>
        <w:rPr>
          <w:rFonts w:ascii="Calibri" w:hAnsi="Calibri" w:eastAsia="Calibri" w:cs="Tahoma"/>
          <w:bCs/>
          <w:sz w:val="22"/>
          <w:szCs w:val="22"/>
        </w:rPr>
        <w:t xml:space="preserve">Cumbria and North Lancashire</w:t>
      </w:r>
      <w:r>
        <w:rPr>
          <w:rFonts w:ascii="Calibri" w:hAnsi="Calibri" w:eastAsia="Calibri" w:cs="Tahoma"/>
          <w:bCs/>
          <w:sz w:val="22"/>
          <w:szCs w:val="22"/>
        </w:rPr>
        <w:t xml:space="preserve">, East London for ITT</w:t>
      </w:r>
      <w:r>
        <w:rPr>
          <w:rFonts w:ascii="Calibri" w:hAnsi="Calibri" w:eastAsia="Calibri" w:cs="Tahoma"/>
          <w:bCs/>
          <w:sz w:val="22"/>
          <w:szCs w:val="22"/>
        </w:rPr>
        <w:t xml:space="preserve"> </w:t>
      </w:r>
      <w:r>
        <w:rPr>
          <w:rFonts w:ascii="Calibri" w:hAnsi="Calibri" w:eastAsia="Calibri" w:cs="Tahoma"/>
          <w:bCs/>
          <w:sz w:val="22"/>
          <w:szCs w:val="22"/>
        </w:rPr>
        <w:t xml:space="preserve">southern Scotland, the North East, North and West Yorkshire, and Greater Lancashire) within which the University may share a concern for </w:t>
      </w:r>
      <w:r>
        <w:rPr>
          <w:rFonts w:ascii="Calibri" w:hAnsi="Calibri" w:eastAsia="Calibri" w:cs="Tahoma"/>
          <w:bCs/>
          <w:sz w:val="22"/>
          <w:szCs w:val="22"/>
        </w:rPr>
        <w:t xml:space="preserve">developing a </w:t>
      </w:r>
      <w:r>
        <w:rPr>
          <w:rFonts w:ascii="Calibri" w:hAnsi="Calibri" w:eastAsia="Calibri" w:cs="Tahoma"/>
          <w:bCs/>
          <w:sz w:val="22"/>
          <w:szCs w:val="22"/>
        </w:rPr>
        <w:t xml:space="preserve">complementary curriculum </w:t>
      </w:r>
      <w:r>
        <w:rPr>
          <w:rFonts w:ascii="Calibri" w:hAnsi="Calibri" w:eastAsia="Calibri" w:cs="Tahoma"/>
          <w:bCs/>
          <w:sz w:val="22"/>
          <w:szCs w:val="22"/>
        </w:rPr>
        <w:t xml:space="preserve">with partners through </w:t>
      </w:r>
      <w:r>
        <w:rPr>
          <w:rFonts w:ascii="Calibri" w:hAnsi="Calibri" w:eastAsia="Calibri" w:cs="Tahoma"/>
          <w:bCs/>
          <w:sz w:val="22"/>
          <w:szCs w:val="22"/>
        </w:rPr>
        <w:t xml:space="preserve">the co-development and delivery of curriculum</w:t>
      </w:r>
      <w:r>
        <w:rPr>
          <w:rFonts w:ascii="Calibri" w:hAnsi="Calibri" w:eastAsia="Calibri" w:cs="Tahoma"/>
          <w:bCs/>
          <w:sz w:val="22"/>
          <w:szCs w:val="22"/>
        </w:rPr>
        <w:t xml:space="preserve"> in order to widen participation and meet the Educational and higher skills needs of the area, progression </w:t>
      </w:r>
      <w:r>
        <w:rPr>
          <w:rFonts w:ascii="Calibri" w:hAnsi="Calibri" w:eastAsia="Calibri" w:cs="Tahoma"/>
          <w:bCs/>
          <w:sz w:val="22"/>
          <w:szCs w:val="22"/>
        </w:rPr>
        <w:t xml:space="preserve">and developing higher skills</w:t>
      </w:r>
      <w:r>
        <w:rPr>
          <w:rFonts w:ascii="Calibri" w:hAnsi="Calibri" w:eastAsia="Calibri" w:cs="Tahoma"/>
          <w:bCs/>
          <w:sz w:val="22"/>
          <w:szCs w:val="22"/>
        </w:rPr>
        <w:t xml:space="preserve">.</w:t>
      </w:r>
      <w:r>
        <w:rPr>
          <w:rFonts w:ascii="Calibri" w:hAnsi="Calibri" w:eastAsia="Calibri" w:cs="Tahoma"/>
          <w:bCs/>
          <w:sz w:val="22"/>
          <w:szCs w:val="22"/>
        </w:rPr>
        <w:t xml:space="preserve"> </w:t>
      </w:r>
      <w:r>
        <w:rPr>
          <w:rFonts w:ascii="Calibri" w:hAnsi="Calibri" w:eastAsia="Calibri" w:cs="Calibri"/>
          <w:bCs/>
          <w:sz w:val="22"/>
          <w:szCs w:val="22"/>
        </w:rPr>
        <w:t xml:space="preserve">These could be seen as partnerships that the University </w:t>
      </w:r>
      <w:r>
        <w:rPr>
          <w:rFonts w:ascii="Calibri" w:hAnsi="Calibri" w:eastAsia="Calibri" w:cs="Calibri"/>
          <w:bCs/>
          <w:sz w:val="22"/>
          <w:szCs w:val="22"/>
        </w:rPr>
        <w:t xml:space="preserve">must have to</w:t>
      </w:r>
      <w:r>
        <w:rPr>
          <w:rFonts w:ascii="Calibri" w:hAnsi="Calibri" w:eastAsia="Calibri" w:cs="Calibri"/>
          <w:bCs/>
          <w:sz w:val="22"/>
          <w:szCs w:val="22"/>
        </w:rPr>
        <w:t xml:space="preserve"> enable it to deliver its mission.</w:t>
      </w:r>
    </w:p>
    <w:p>
      <w:pPr>
        <w:pStyle w:val="ListParagraph"/>
        <w:spacing w:line="240" w:lineRule="auto"/>
        <w:rPr>
          <w:rFonts w:ascii="Calibri" w:hAnsi="Calibri" w:eastAsia="Calibri" w:cs="Tahoma"/>
          <w:bCs/>
          <w:sz w:val="22"/>
          <w:szCs w:val="22"/>
        </w:rPr>
      </w:pPr>
    </w:p>
    <w:p>
      <w:pPr>
        <w:pStyle w:val="NoSpacing"/>
        <w:numPr>
          <w:ilvl w:val="0"/>
          <w:numId w:val="10"/>
        </w:numPr>
        <w:spacing w:line="240" w:lineRule="auto"/>
        <w:rPr>
          <w:rFonts w:ascii="Calibri" w:hAnsi="Calibri" w:eastAsia="Calibri" w:cs="Tahoma"/>
          <w:bCs/>
          <w:sz w:val="22"/>
          <w:szCs w:val="22"/>
        </w:rPr>
      </w:pPr>
      <w:r>
        <w:rPr>
          <w:rFonts w:ascii="Calibri" w:hAnsi="Calibri" w:eastAsia="Calibri" w:cs="Tahoma"/>
          <w:bCs/>
          <w:sz w:val="22"/>
          <w:szCs w:val="22"/>
        </w:rPr>
        <w:t xml:space="preserve">A National Tier within which the University</w:t>
      </w:r>
      <w:r>
        <w:rPr>
          <w:rFonts w:ascii="Calibri" w:hAnsi="Calibri" w:eastAsia="Calibri" w:cs="Tahoma"/>
          <w:bCs/>
          <w:sz w:val="22"/>
          <w:szCs w:val="22"/>
        </w:rPr>
        <w:t xml:space="preserve"> </w:t>
      </w:r>
      <w:r>
        <w:rPr>
          <w:rFonts w:ascii="Calibri" w:hAnsi="Calibri" w:eastAsia="Calibri" w:cs="Tahoma"/>
          <w:bCs/>
          <w:sz w:val="22"/>
          <w:szCs w:val="22"/>
        </w:rPr>
        <w:t xml:space="preserve">may share a concern for </w:t>
      </w:r>
      <w:r>
        <w:rPr>
          <w:rFonts w:ascii="Calibri" w:hAnsi="Calibri" w:eastAsia="Calibri" w:cs="Tahoma"/>
          <w:bCs/>
          <w:sz w:val="22"/>
          <w:szCs w:val="22"/>
        </w:rPr>
        <w:t xml:space="preserve">progression, widening participation, developing higher skills and delivering niche and specialist curriculum areas. </w:t>
      </w:r>
      <w:r>
        <w:rPr>
          <w:rFonts w:ascii="Calibri" w:hAnsi="Calibri" w:eastAsia="Calibri" w:cs="Calibri"/>
          <w:bCs/>
          <w:sz w:val="22"/>
          <w:szCs w:val="22"/>
        </w:rPr>
        <w:t xml:space="preserve">These could be seen as partnerships that the University could do to enable it to deliver its mission</w:t>
      </w:r>
    </w:p>
    <w:p>
      <w:pPr>
        <w:pStyle w:val="NoSpacing"/>
        <w:spacing w:line="240" w:lineRule="auto"/>
        <w:rPr>
          <w:rFonts w:ascii="Calibri" w:hAnsi="Calibri" w:eastAsia="Calibri" w:cs="Tahoma"/>
          <w:bCs/>
          <w:sz w:val="22"/>
          <w:szCs w:val="22"/>
        </w:rPr>
      </w:pPr>
    </w:p>
    <w:p>
      <w:pPr>
        <w:pStyle w:val="NoSpacing"/>
        <w:numPr>
          <w:ilvl w:val="0"/>
          <w:numId w:val="10"/>
        </w:numPr>
        <w:spacing w:line="240" w:lineRule="auto"/>
        <w:rPr>
          <w:rFonts w:ascii="Calibri" w:hAnsi="Calibri" w:eastAsia="Calibri" w:cs="Calibri"/>
          <w:sz w:val="22"/>
          <w:szCs w:val="22"/>
        </w:rPr>
      </w:pPr>
      <w:r>
        <w:rPr>
          <w:rFonts w:ascii="Calibri" w:hAnsi="Calibri" w:eastAsia="Calibri" w:cs="Tahoma"/>
          <w:bCs/>
          <w:sz w:val="22"/>
          <w:szCs w:val="22"/>
        </w:rPr>
        <w:t xml:space="preserve">An International Tier </w:t>
      </w:r>
      <w:r>
        <w:rPr>
          <w:rFonts w:ascii="Calibri" w:hAnsi="Calibri" w:eastAsia="Calibri" w:cs="Tahoma"/>
          <w:bCs/>
          <w:sz w:val="22"/>
          <w:szCs w:val="22"/>
        </w:rPr>
        <w:t xml:space="preserve">(European and Overseas</w:t>
      </w:r>
      <w:r>
        <w:rPr>
          <w:rFonts w:ascii="Calibri" w:hAnsi="Calibri" w:eastAsia="Calibri" w:cs="Tahoma"/>
          <w:bCs/>
          <w:sz w:val="22"/>
          <w:szCs w:val="22"/>
        </w:rPr>
        <w:t xml:space="preserve">) through which the University will develop its internationalisation and European activity in niche and specialist areas and within which the University may share a concern for progression and articulation. These could be seen as partnerships that the University must do to further to deliver its mission, realise its targets for internationalisation and could do to enable income generation.</w:t>
      </w:r>
      <w:r>
        <w:rPr>
          <w:rFonts w:ascii="Calibri" w:hAnsi="Calibri" w:eastAsia="Calibri" w:cs="Calibri"/>
          <w:sz w:val="22"/>
          <w:szCs w:val="22"/>
        </w:rPr>
        <w:t xml:space="preserve"> </w:t>
      </w:r>
    </w:p>
    <w:p>
      <w:pPr>
        <w:pStyle w:val="ListParagraph"/>
        <w:spacing w:line="240" w:lineRule="auto"/>
        <w:ind w:left="0"/>
        <w:rPr>
          <w:rFonts w:ascii="Calibri" w:hAnsi="Calibri" w:eastAsia="Calibri" w:cs="Calibri"/>
          <w:sz w:val="22"/>
          <w:szCs w:val="22"/>
        </w:rPr>
      </w:pPr>
    </w:p>
    <w:p>
      <w:pPr>
        <w:spacing w:line="240" w:lineRule="auto"/>
        <w:jc w:val="both"/>
        <w:rPr>
          <w:rFonts w:ascii="Calibri" w:hAnsi="Calibri" w:eastAsia="Calibri" w:cs="Calibri"/>
          <w:b/>
          <w:sz w:val="22"/>
          <w:szCs w:val="22"/>
        </w:rPr>
      </w:pPr>
      <w:r>
        <w:rPr>
          <w:rFonts w:ascii="Calibri" w:hAnsi="Calibri" w:eastAsia="Calibri" w:cs="Calibri"/>
          <w:b/>
          <w:sz w:val="22"/>
          <w:szCs w:val="22"/>
        </w:rPr>
        <w:t xml:space="preserve">5.</w:t>
      </w:r>
      <w:r>
        <w:rPr>
          <w:rFonts w:ascii="Calibri" w:hAnsi="Calibri" w:eastAsia="Calibri" w:cs="Calibri"/>
          <w:b/>
          <w:sz w:val="22"/>
          <w:szCs w:val="22"/>
        </w:rPr>
        <w:tab/>
        <w:t xml:space="preserve"/>
      </w:r>
      <w:r>
        <w:rPr>
          <w:rFonts w:ascii="Calibri" w:hAnsi="Calibri" w:eastAsia="Calibri" w:cs="Calibri"/>
          <w:b/>
          <w:sz w:val="22"/>
          <w:szCs w:val="22"/>
        </w:rPr>
        <w:t xml:space="preserve">M</w:t>
      </w:r>
      <w:r>
        <w:rPr>
          <w:rFonts w:ascii="Calibri" w:hAnsi="Calibri" w:eastAsia="Calibri" w:cs="Calibri"/>
          <w:b/>
          <w:sz w:val="22"/>
          <w:szCs w:val="22"/>
        </w:rPr>
        <w:t xml:space="preserve">onitoring and Management Arrangements</w:t>
      </w:r>
    </w:p>
    <w:p>
      <w:pPr>
        <w:pStyle w:val="NoSpacing"/>
        <w:spacing w:line="240" w:lineRule="auto"/>
        <w:rPr>
          <w:rFonts w:ascii="Calibri" w:hAnsi="Calibri" w:eastAsia="Calibri" w:cs="Calibri"/>
          <w:b/>
          <w:sz w:val="22"/>
          <w:szCs w:val="22"/>
        </w:rPr>
      </w:pPr>
    </w:p>
    <w:p>
      <w:pPr>
        <w:pStyle w:val="NoSpacing"/>
        <w:spacing w:line="240" w:lineRule="auto"/>
        <w:rPr>
          <w:rFonts w:ascii="Calibri" w:hAnsi="Calibri" w:eastAsia="Calibri" w:cs="Calibri"/>
          <w:sz w:val="22"/>
          <w:szCs w:val="22"/>
        </w:rPr>
      </w:pPr>
      <w:r>
        <w:rPr>
          <w:rFonts w:ascii="Calibri" w:hAnsi="Calibri" w:eastAsia="Calibri" w:cs="Calibri"/>
          <w:sz w:val="22"/>
          <w:szCs w:val="22"/>
        </w:rPr>
        <w:t xml:space="preserve">The responsibility for managing and monitoring progress against this strategy, and the related targets, performance indicators and milestones, sits with the Academic Collaborative Partnerships Subcommittee and will be facilitated by </w:t>
      </w:r>
      <w:r>
        <w:rPr>
          <w:rFonts w:ascii="Calibri" w:hAnsi="Calibri" w:eastAsia="Calibri" w:cs="Calibri"/>
          <w:sz w:val="22"/>
          <w:szCs w:val="22"/>
        </w:rPr>
        <w:t xml:space="preserve">the Academic Partnerships T</w:t>
      </w:r>
      <w:r>
        <w:rPr>
          <w:rFonts w:ascii="Calibri" w:hAnsi="Calibri" w:eastAsia="Calibri" w:cs="Calibri"/>
          <w:sz w:val="22"/>
          <w:szCs w:val="22"/>
        </w:rPr>
        <w:t xml:space="preserve">eam working with the relevant senior roles within the faculties and professionals services.  </w:t>
      </w:r>
    </w:p>
    <w:p>
      <w:pPr>
        <w:pStyle w:val="NoSpacing"/>
        <w:spacing w:line="240" w:lineRule="auto"/>
        <w:rPr>
          <w:rFonts w:ascii="Calibri" w:hAnsi="Calibri" w:eastAsia="Calibri" w:cs="Calibri"/>
          <w:sz w:val="22"/>
          <w:szCs w:val="22"/>
        </w:rPr>
      </w:pPr>
    </w:p>
    <w:p>
      <w:pPr>
        <w:spacing w:line="240" w:lineRule="auto"/>
        <w:jc w:val="both"/>
        <w:rPr>
          <w:rFonts w:ascii="Calibri" w:hAnsi="Calibri" w:eastAsia="Calibri" w:cs="Calibri"/>
          <w:b/>
          <w:sz w:val="22"/>
          <w:szCs w:val="22"/>
        </w:rPr>
      </w:pPr>
      <w:r>
        <w:rPr>
          <w:rFonts w:ascii="Calibri" w:hAnsi="Calibri" w:eastAsia="Calibri" w:cs="Calibri"/>
          <w:b/>
          <w:sz w:val="22"/>
          <w:szCs w:val="22"/>
        </w:rPr>
        <w:t xml:space="preserve">6.</w:t>
      </w:r>
      <w:r>
        <w:rPr>
          <w:rFonts w:ascii="Calibri" w:hAnsi="Calibri" w:eastAsia="Calibri" w:cs="Calibri"/>
          <w:b/>
          <w:sz w:val="22"/>
          <w:szCs w:val="22"/>
        </w:rPr>
        <w:tab/>
        <w:t xml:space="preserve"/>
      </w:r>
      <w:r>
        <w:rPr>
          <w:rFonts w:ascii="Calibri" w:hAnsi="Calibri" w:eastAsia="Calibri" w:cs="Calibri"/>
          <w:b/>
          <w:sz w:val="22"/>
          <w:szCs w:val="22"/>
        </w:rPr>
        <w:t xml:space="preserve">Overarching  Performance Indicators and Milestones</w:t>
      </w:r>
    </w:p>
    <w:p>
      <w:pPr>
        <w:tabs>
          <w:tab w:val="left" w:pos="8475"/>
        </w:tabs>
        <w:spacing w:line="240" w:lineRule="auto"/>
        <w:jc w:val="both"/>
        <w:rPr>
          <w:rFonts w:ascii="Calibri" w:hAnsi="Calibri" w:eastAsia="Calibri" w:cs="Calibri"/>
          <w:b/>
          <w:sz w:val="22"/>
          <w:szCs w:val="22"/>
        </w:rPr>
      </w:pPr>
      <w:r>
        <w:rPr>
          <w:rFonts w:ascii="Calibri" w:hAnsi="Calibri" w:eastAsia="Calibri" w:cs="Calibri"/>
          <w:b/>
          <w:sz w:val="22"/>
          <w:szCs w:val="22"/>
        </w:rPr>
        <w:tab/>
        <w:t xml:space="preserve"/>
      </w:r>
    </w:p>
    <w:tbl>
      <w:tblPr>
        <w:tblW w:w="10064" w:type="dxa"/>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6521"/>
        <w:gridCol w:w="1181"/>
        <w:gridCol w:w="1181"/>
        <w:gridCol w:w="1181"/>
      </w:tblGrid>
      <w:tr>
        <w:trPr>
          <w:trHeight w:val="266" w:hRule="atLeast"/>
          <w:jc w:val="left"/>
        </w:trPr>
        <w:tc>
          <w:tcPr>
            <w:tcW w:type="dxa" w:w="6521"/>
            <w:tcBorders/>
          </w:tcPr>
          <w:p>
            <w:pPr>
              <w:pStyle w:val="NoSpacing"/>
              <w:spacing w:line="240" w:lineRule="auto"/>
              <w:jc w:val="center"/>
              <w:rPr>
                <w:rFonts w:ascii="Calibri" w:hAnsi="Calibri" w:eastAsia="Calibri" w:cs="Calibri"/>
                <w:b/>
                <w:sz w:val="20"/>
                <w:szCs w:val="20"/>
              </w:rPr>
            </w:pPr>
            <w:r>
              <w:rPr>
                <w:rFonts w:ascii="Calibri" w:hAnsi="Calibri" w:eastAsia="Calibri" w:cs="Calibri"/>
                <w:b/>
                <w:sz w:val="20"/>
                <w:szCs w:val="20"/>
              </w:rPr>
              <w:t xml:space="preserve">Overarching  Performance Indicators and Milestones</w:t>
            </w:r>
          </w:p>
        </w:tc>
        <w:tc>
          <w:tcPr>
            <w:tcW w:type="dxa" w:w="1181"/>
            <w:tcBorders/>
          </w:tcPr>
          <w:p>
            <w:pPr>
              <w:pStyle w:val="Default"/>
              <w:spacing w:line="240" w:lineRule="auto"/>
              <w:jc w:val="center"/>
              <w:rPr>
                <w:sz w:val="20"/>
                <w:szCs w:val="20"/>
              </w:rPr>
            </w:pPr>
            <w:r>
              <w:rPr>
                <w:sz w:val="20"/>
                <w:szCs w:val="20"/>
              </w:rPr>
              <w:t xml:space="preserve">Baseline</w:t>
            </w:r>
          </w:p>
          <w:p>
            <w:pPr>
              <w:pStyle w:val="Default"/>
              <w:spacing w:line="240" w:lineRule="auto"/>
              <w:jc w:val="center"/>
              <w:rPr>
                <w:sz w:val="20"/>
                <w:szCs w:val="20"/>
              </w:rPr>
            </w:pPr>
            <w:r>
              <w:rPr>
                <w:sz w:val="20"/>
                <w:szCs w:val="20"/>
              </w:rPr>
              <w:t xml:space="preserve">2013</w:t>
            </w:r>
          </w:p>
        </w:tc>
        <w:tc>
          <w:tcPr>
            <w:tcW w:type="dxa" w:w="1181"/>
            <w:tcBorders/>
          </w:tcPr>
          <w:p>
            <w:pPr>
              <w:pStyle w:val="Default"/>
              <w:spacing w:line="240" w:lineRule="auto"/>
              <w:jc w:val="center"/>
              <w:rPr>
                <w:sz w:val="20"/>
                <w:szCs w:val="20"/>
              </w:rPr>
            </w:pPr>
            <w:r>
              <w:rPr>
                <w:sz w:val="20"/>
                <w:szCs w:val="20"/>
              </w:rPr>
              <w:t xml:space="preserve">Milestone</w:t>
            </w:r>
          </w:p>
          <w:p>
            <w:pPr>
              <w:pStyle w:val="Default"/>
              <w:spacing w:line="240" w:lineRule="auto"/>
              <w:jc w:val="center"/>
              <w:rPr>
                <w:sz w:val="20"/>
                <w:szCs w:val="20"/>
              </w:rPr>
            </w:pPr>
            <w:r>
              <w:rPr>
                <w:sz w:val="20"/>
                <w:szCs w:val="20"/>
              </w:rPr>
              <w:t xml:space="preserve">2016</w:t>
            </w:r>
          </w:p>
        </w:tc>
        <w:tc>
          <w:tcPr>
            <w:tcW w:type="dxa" w:w="1181"/>
            <w:tcBorders/>
          </w:tcPr>
          <w:p>
            <w:pPr>
              <w:pStyle w:val="Default"/>
              <w:spacing w:line="240" w:lineRule="auto"/>
              <w:jc w:val="center"/>
              <w:rPr>
                <w:sz w:val="20"/>
                <w:szCs w:val="20"/>
              </w:rPr>
            </w:pPr>
            <w:r>
              <w:rPr>
                <w:sz w:val="20"/>
                <w:szCs w:val="20"/>
              </w:rPr>
              <w:t xml:space="preserve">Target</w:t>
            </w:r>
          </w:p>
          <w:p>
            <w:pPr>
              <w:pStyle w:val="Default"/>
              <w:spacing w:line="240" w:lineRule="auto"/>
              <w:jc w:val="center"/>
              <w:rPr>
                <w:sz w:val="20"/>
                <w:szCs w:val="20"/>
              </w:rPr>
            </w:pPr>
            <w:r>
              <w:rPr>
                <w:sz w:val="20"/>
                <w:szCs w:val="20"/>
              </w:rPr>
              <w:t xml:space="preserve">2018</w:t>
            </w:r>
          </w:p>
        </w:tc>
      </w:tr>
      <w:tr>
        <w:trPr>
          <w:trHeight w:val="266" w:hRule="atLeast"/>
          <w:jc w:val="left"/>
        </w:trPr>
        <w:tc>
          <w:tcPr>
            <w:tcW w:type="dxa" w:w="6521"/>
            <w:tcBorders/>
          </w:tcPr>
          <w:p>
            <w:pPr>
              <w:pStyle w:val="Default"/>
              <w:spacing w:line="240" w:lineRule="auto"/>
              <w:rPr>
                <w:sz w:val="20"/>
                <w:szCs w:val="20"/>
              </w:rPr>
            </w:pPr>
            <w:r>
              <w:rPr>
                <w:sz w:val="20"/>
                <w:szCs w:val="20"/>
              </w:rPr>
              <w:t xml:space="preserve">Number of partners with formal collaborative agreements with UoC</w:t>
            </w:r>
          </w:p>
        </w:tc>
        <w:tc>
          <w:tcPr>
            <w:tcW w:type="dxa" w:w="1181"/>
            <w:tcBorders/>
          </w:tcPr>
          <w:p>
            <w:pPr>
              <w:pStyle w:val="Default"/>
              <w:spacing w:line="240" w:lineRule="auto"/>
              <w:jc w:val="center"/>
              <w:rPr>
                <w:sz w:val="20"/>
                <w:szCs w:val="20"/>
              </w:rPr>
            </w:pPr>
            <w:r>
              <w:rPr>
                <w:sz w:val="20"/>
                <w:szCs w:val="20"/>
              </w:rPr>
              <w:t xml:space="preserve">16</w:t>
            </w:r>
          </w:p>
        </w:tc>
        <w:tc>
          <w:tcPr>
            <w:tcW w:type="dxa" w:w="1181"/>
            <w:tcBorders/>
          </w:tcPr>
          <w:p>
            <w:pPr>
              <w:pStyle w:val="Default"/>
              <w:spacing w:line="240" w:lineRule="auto"/>
              <w:jc w:val="center"/>
              <w:rPr>
                <w:sz w:val="20"/>
                <w:szCs w:val="20"/>
              </w:rPr>
            </w:pPr>
            <w:r>
              <w:rPr>
                <w:sz w:val="20"/>
                <w:szCs w:val="20"/>
              </w:rPr>
              <w:t xml:space="preserve">34</w:t>
            </w:r>
          </w:p>
        </w:tc>
        <w:tc>
          <w:tcPr>
            <w:tcW w:type="dxa" w:w="1181"/>
            <w:tcBorders/>
          </w:tcPr>
          <w:p>
            <w:pPr>
              <w:pStyle w:val="Default"/>
              <w:spacing w:line="240" w:lineRule="auto"/>
              <w:jc w:val="center"/>
              <w:rPr>
                <w:sz w:val="20"/>
                <w:szCs w:val="20"/>
              </w:rPr>
            </w:pPr>
            <w:r>
              <w:rPr>
                <w:sz w:val="20"/>
                <w:szCs w:val="20"/>
              </w:rPr>
              <w:t xml:space="preserve">54</w:t>
            </w:r>
          </w:p>
        </w:tc>
      </w:tr>
      <w:tr>
        <w:trPr>
          <w:trHeight w:val="266" w:hRule="atLeast"/>
          <w:jc w:val="left"/>
        </w:trPr>
        <w:tc>
          <w:tcPr>
            <w:tcW w:type="dxa" w:w="6521"/>
            <w:tcBorders/>
          </w:tcPr>
          <w:p>
            <w:pPr>
              <w:pStyle w:val="Default"/>
              <w:spacing w:line="240" w:lineRule="auto"/>
              <w:rPr>
                <w:sz w:val="20"/>
                <w:szCs w:val="20"/>
              </w:rPr>
            </w:pPr>
            <w:r>
              <w:rPr>
                <w:sz w:val="20"/>
                <w:szCs w:val="20"/>
              </w:rPr>
              <w:t xml:space="preserve">Percentage of partners with guaranteed progression or articulation agreements</w:t>
            </w:r>
          </w:p>
        </w:tc>
        <w:tc>
          <w:tcPr>
            <w:tcW w:type="dxa" w:w="1181"/>
            <w:tcBorders/>
          </w:tcPr>
          <w:p>
            <w:pPr>
              <w:pStyle w:val="Default"/>
              <w:spacing w:line="240" w:lineRule="auto"/>
              <w:jc w:val="center"/>
              <w:rPr>
                <w:sz w:val="20"/>
                <w:szCs w:val="20"/>
              </w:rPr>
            </w:pPr>
            <w:r>
              <w:rPr>
                <w:sz w:val="20"/>
                <w:szCs w:val="20"/>
              </w:rPr>
              <w:t xml:space="preserve">19</w:t>
            </w:r>
            <w:r>
              <w:rPr>
                <w:sz w:val="20"/>
                <w:szCs w:val="20"/>
              </w:rPr>
              <w:t xml:space="preserve">%</w:t>
            </w:r>
          </w:p>
        </w:tc>
        <w:tc>
          <w:tcPr>
            <w:tcW w:type="dxa" w:w="1181"/>
            <w:tcBorders/>
          </w:tcPr>
          <w:p>
            <w:pPr>
              <w:pStyle w:val="Default"/>
              <w:spacing w:line="240" w:lineRule="auto"/>
              <w:jc w:val="center"/>
              <w:rPr>
                <w:sz w:val="20"/>
                <w:szCs w:val="20"/>
              </w:rPr>
            </w:pPr>
            <w:r>
              <w:rPr>
                <w:sz w:val="20"/>
                <w:szCs w:val="20"/>
              </w:rPr>
              <w:t xml:space="preserve">73%</w:t>
            </w:r>
          </w:p>
        </w:tc>
        <w:tc>
          <w:tcPr>
            <w:tcW w:type="dxa" w:w="1181"/>
            <w:tcBorders/>
          </w:tcPr>
          <w:p>
            <w:pPr>
              <w:pStyle w:val="Default"/>
              <w:spacing w:line="240" w:lineRule="auto"/>
              <w:jc w:val="center"/>
              <w:rPr>
                <w:sz w:val="20"/>
                <w:szCs w:val="20"/>
              </w:rPr>
            </w:pPr>
            <w:r>
              <w:rPr>
                <w:sz w:val="20"/>
                <w:szCs w:val="20"/>
              </w:rPr>
              <w:t xml:space="preserve">100%</w:t>
            </w:r>
          </w:p>
        </w:tc>
      </w:tr>
      <w:tr>
        <w:trPr>
          <w:trHeight w:val="266" w:hRule="atLeast"/>
          <w:jc w:val="left"/>
        </w:trPr>
        <w:tc>
          <w:tcPr>
            <w:tcW w:type="dxa" w:w="6521"/>
            <w:tcBorders/>
          </w:tcPr>
          <w:p>
            <w:pPr>
              <w:pStyle w:val="Default"/>
              <w:spacing w:line="240" w:lineRule="auto"/>
              <w:rPr>
                <w:sz w:val="20"/>
                <w:szCs w:val="20"/>
              </w:rPr>
            </w:pPr>
            <w:r>
              <w:rPr>
                <w:sz w:val="20"/>
                <w:szCs w:val="20"/>
              </w:rPr>
              <w:t xml:space="preserve">Percentage of partners delivering multiple UoC Awards</w:t>
            </w:r>
          </w:p>
        </w:tc>
        <w:tc>
          <w:tcPr>
            <w:tcW w:type="dxa" w:w="1181"/>
            <w:tcBorders/>
          </w:tcPr>
          <w:p>
            <w:pPr>
              <w:pStyle w:val="Default"/>
              <w:spacing w:line="240" w:lineRule="auto"/>
              <w:jc w:val="center"/>
              <w:rPr>
                <w:sz w:val="20"/>
                <w:szCs w:val="20"/>
              </w:rPr>
            </w:pPr>
            <w:r>
              <w:rPr>
                <w:sz w:val="20"/>
                <w:szCs w:val="20"/>
              </w:rPr>
              <w:t xml:space="preserve">3</w:t>
            </w:r>
            <w:r>
              <w:rPr>
                <w:sz w:val="20"/>
                <w:szCs w:val="20"/>
              </w:rPr>
              <w:t xml:space="preserve">8%</w:t>
            </w:r>
          </w:p>
        </w:tc>
        <w:tc>
          <w:tcPr>
            <w:tcW w:type="dxa" w:w="1181"/>
            <w:tcBorders/>
          </w:tcPr>
          <w:p>
            <w:pPr>
              <w:pStyle w:val="Default"/>
              <w:spacing w:line="240" w:lineRule="auto"/>
              <w:jc w:val="center"/>
              <w:rPr>
                <w:sz w:val="20"/>
                <w:szCs w:val="20"/>
              </w:rPr>
            </w:pPr>
            <w:r>
              <w:rPr>
                <w:sz w:val="20"/>
                <w:szCs w:val="20"/>
              </w:rPr>
              <w:t xml:space="preserve">3</w:t>
            </w:r>
            <w:r>
              <w:rPr>
                <w:sz w:val="20"/>
                <w:szCs w:val="20"/>
              </w:rPr>
              <w:t xml:space="preserve">8</w:t>
            </w:r>
            <w:r>
              <w:rPr>
                <w:sz w:val="20"/>
                <w:szCs w:val="20"/>
              </w:rPr>
              <w:t xml:space="preserve">%</w:t>
            </w:r>
          </w:p>
        </w:tc>
        <w:tc>
          <w:tcPr>
            <w:tcW w:type="dxa" w:w="1181"/>
            <w:tcBorders/>
          </w:tcPr>
          <w:p>
            <w:pPr>
              <w:pStyle w:val="Default"/>
              <w:spacing w:line="240" w:lineRule="auto"/>
              <w:jc w:val="center"/>
              <w:rPr>
                <w:sz w:val="20"/>
                <w:szCs w:val="20"/>
              </w:rPr>
            </w:pPr>
            <w:r>
              <w:rPr>
                <w:sz w:val="20"/>
                <w:szCs w:val="20"/>
              </w:rPr>
              <w:t xml:space="preserve">48</w:t>
            </w:r>
            <w:r>
              <w:rPr>
                <w:sz w:val="20"/>
                <w:szCs w:val="20"/>
              </w:rPr>
              <w:t xml:space="preserve">%</w:t>
            </w:r>
          </w:p>
        </w:tc>
      </w:tr>
      <w:tr>
        <w:trPr>
          <w:trHeight w:val="266" w:hRule="atLeast"/>
          <w:jc w:val="left"/>
        </w:trPr>
        <w:tc>
          <w:tcPr>
            <w:tcW w:type="dxa" w:w="6521"/>
            <w:tcBorders/>
          </w:tcPr>
          <w:p>
            <w:pPr>
              <w:pStyle w:val="Default"/>
              <w:spacing w:line="240" w:lineRule="auto"/>
              <w:rPr>
                <w:sz w:val="20"/>
                <w:szCs w:val="20"/>
              </w:rPr>
            </w:pPr>
            <w:r>
              <w:rPr>
                <w:sz w:val="20"/>
                <w:szCs w:val="20"/>
              </w:rPr>
              <w:t xml:space="preserve">Number of students from formal partnerships who progress or articulate to an award delivered by the University at level 4</w:t>
            </w:r>
          </w:p>
        </w:tc>
        <w:tc>
          <w:tcPr>
            <w:tcW w:type="dxa" w:w="1181"/>
            <w:tcBorders/>
          </w:tcPr>
          <w:p>
            <w:pPr>
              <w:pStyle w:val="Default"/>
              <w:spacing w:line="240" w:lineRule="auto"/>
              <w:jc w:val="center"/>
              <w:rPr>
                <w:sz w:val="20"/>
                <w:szCs w:val="20"/>
              </w:rPr>
            </w:pPr>
            <w:r>
              <w:rPr>
                <w:sz w:val="20"/>
                <w:szCs w:val="20"/>
              </w:rPr>
              <w:t xml:space="preserve">140</w:t>
            </w:r>
          </w:p>
        </w:tc>
        <w:tc>
          <w:tcPr>
            <w:tcW w:type="dxa" w:w="1181"/>
            <w:tcBorders/>
          </w:tcPr>
          <w:p>
            <w:pPr>
              <w:pStyle w:val="Default"/>
              <w:spacing w:line="240" w:lineRule="auto"/>
              <w:jc w:val="center"/>
              <w:rPr>
                <w:sz w:val="20"/>
                <w:szCs w:val="20"/>
              </w:rPr>
            </w:pPr>
            <w:r>
              <w:rPr>
                <w:sz w:val="20"/>
                <w:szCs w:val="20"/>
              </w:rPr>
              <w:t xml:space="preserve">230</w:t>
            </w:r>
          </w:p>
        </w:tc>
        <w:tc>
          <w:tcPr>
            <w:tcW w:type="dxa" w:w="1181"/>
            <w:tcBorders/>
          </w:tcPr>
          <w:p>
            <w:pPr>
              <w:pStyle w:val="Default"/>
              <w:spacing w:line="240" w:lineRule="auto"/>
              <w:jc w:val="center"/>
              <w:rPr>
                <w:sz w:val="20"/>
                <w:szCs w:val="20"/>
              </w:rPr>
            </w:pPr>
            <w:r>
              <w:rPr>
                <w:sz w:val="20"/>
                <w:szCs w:val="20"/>
              </w:rPr>
              <w:t xml:space="preserve">345</w:t>
            </w:r>
          </w:p>
        </w:tc>
      </w:tr>
      <w:tr>
        <w:trPr>
          <w:trHeight w:val="266" w:hRule="atLeast"/>
          <w:jc w:val="left"/>
        </w:trPr>
        <w:tc>
          <w:tcPr>
            <w:tcW w:type="dxa" w:w="6521"/>
            <w:tcBorders/>
          </w:tcPr>
          <w:p>
            <w:pPr>
              <w:pStyle w:val="Default"/>
              <w:spacing w:line="240" w:lineRule="auto"/>
              <w:rPr>
                <w:sz w:val="20"/>
                <w:szCs w:val="20"/>
              </w:rPr>
            </w:pPr>
            <w:r>
              <w:rPr>
                <w:sz w:val="20"/>
                <w:szCs w:val="20"/>
              </w:rPr>
              <w:t xml:space="preserve">Number of students from formal partnerships who progress or articulate to an award delivered by the University at level 5 or 6</w:t>
            </w:r>
          </w:p>
        </w:tc>
        <w:tc>
          <w:tcPr>
            <w:tcW w:type="dxa" w:w="1181"/>
            <w:tcBorders/>
          </w:tcPr>
          <w:p>
            <w:pPr>
              <w:pStyle w:val="Default"/>
              <w:spacing w:line="240" w:lineRule="auto"/>
              <w:jc w:val="center"/>
              <w:rPr>
                <w:sz w:val="20"/>
                <w:szCs w:val="20"/>
              </w:rPr>
            </w:pPr>
            <w:r>
              <w:rPr>
                <w:sz w:val="20"/>
                <w:szCs w:val="20"/>
              </w:rPr>
              <w:t xml:space="preserve">4</w:t>
            </w:r>
            <w:r>
              <w:rPr>
                <w:sz w:val="20"/>
                <w:szCs w:val="20"/>
              </w:rPr>
              <w:t xml:space="preserve">2</w:t>
            </w:r>
          </w:p>
        </w:tc>
        <w:tc>
          <w:tcPr>
            <w:tcW w:type="dxa" w:w="1181"/>
            <w:tcBorders/>
          </w:tcPr>
          <w:p>
            <w:pPr>
              <w:pStyle w:val="Default"/>
              <w:spacing w:line="240" w:lineRule="auto"/>
              <w:jc w:val="center"/>
              <w:rPr>
                <w:sz w:val="20"/>
                <w:szCs w:val="20"/>
              </w:rPr>
            </w:pPr>
            <w:r>
              <w:rPr>
                <w:sz w:val="20"/>
                <w:szCs w:val="20"/>
              </w:rPr>
              <w:t xml:space="preserve">140</w:t>
            </w:r>
          </w:p>
        </w:tc>
        <w:tc>
          <w:tcPr>
            <w:tcW w:type="dxa" w:w="1181"/>
            <w:tcBorders/>
          </w:tcPr>
          <w:p>
            <w:pPr>
              <w:pStyle w:val="Default"/>
              <w:spacing w:line="240" w:lineRule="auto"/>
              <w:jc w:val="center"/>
              <w:rPr>
                <w:sz w:val="20"/>
                <w:szCs w:val="20"/>
              </w:rPr>
            </w:pPr>
            <w:r>
              <w:rPr>
                <w:sz w:val="20"/>
                <w:szCs w:val="20"/>
              </w:rPr>
              <w:t xml:space="preserve">230</w:t>
            </w:r>
          </w:p>
        </w:tc>
      </w:tr>
      <w:tr>
        <w:trPr>
          <w:trHeight w:val="266" w:hRule="atLeast"/>
          <w:jc w:val="left"/>
        </w:trPr>
        <w:tc>
          <w:tcPr>
            <w:tcW w:type="dxa" w:w="6521"/>
            <w:tcBorders/>
          </w:tcPr>
          <w:p>
            <w:pPr>
              <w:pStyle w:val="Default"/>
              <w:spacing w:line="240" w:lineRule="auto"/>
              <w:rPr>
                <w:sz w:val="20"/>
                <w:szCs w:val="20"/>
              </w:rPr>
            </w:pPr>
            <w:r>
              <w:rPr>
                <w:sz w:val="20"/>
                <w:szCs w:val="20"/>
              </w:rPr>
              <w:t xml:space="preserve">Number of students registered on UoC awards in School Direct partnerships</w:t>
            </w:r>
          </w:p>
        </w:tc>
        <w:tc>
          <w:tcPr>
            <w:tcW w:type="dxa" w:w="1181"/>
            <w:tcBorders/>
          </w:tcPr>
          <w:p>
            <w:pPr>
              <w:pStyle w:val="Default"/>
              <w:spacing w:line="240" w:lineRule="auto"/>
              <w:jc w:val="center"/>
              <w:rPr>
                <w:sz w:val="20"/>
                <w:szCs w:val="20"/>
              </w:rPr>
            </w:pPr>
            <w:r>
              <w:rPr>
                <w:sz w:val="20"/>
                <w:szCs w:val="20"/>
              </w:rPr>
              <w:t xml:space="preserve">15</w:t>
            </w:r>
          </w:p>
        </w:tc>
        <w:tc>
          <w:tcPr>
            <w:tcW w:type="dxa" w:w="1181"/>
            <w:tcBorders/>
          </w:tcPr>
          <w:p>
            <w:pPr>
              <w:pStyle w:val="Default"/>
              <w:spacing w:line="240" w:lineRule="auto"/>
              <w:jc w:val="center"/>
              <w:rPr>
                <w:sz w:val="20"/>
                <w:szCs w:val="20"/>
              </w:rPr>
            </w:pPr>
            <w:r>
              <w:rPr>
                <w:sz w:val="20"/>
                <w:szCs w:val="20"/>
              </w:rPr>
              <w:t xml:space="preserve">1000</w:t>
            </w:r>
          </w:p>
        </w:tc>
        <w:tc>
          <w:tcPr>
            <w:tcW w:type="dxa" w:w="1181"/>
            <w:tcBorders/>
          </w:tcPr>
          <w:p>
            <w:pPr>
              <w:pStyle w:val="Default"/>
              <w:spacing w:line="240" w:lineRule="auto"/>
              <w:jc w:val="center"/>
              <w:rPr>
                <w:sz w:val="20"/>
                <w:szCs w:val="20"/>
              </w:rPr>
            </w:pPr>
            <w:r>
              <w:rPr>
                <w:sz w:val="20"/>
                <w:szCs w:val="20"/>
              </w:rPr>
              <w:t xml:space="preserve">1000</w:t>
            </w:r>
          </w:p>
        </w:tc>
      </w:tr>
      <w:tr>
        <w:trPr>
          <w:trHeight w:val="244" w:hRule="atLeast"/>
          <w:jc w:val="left"/>
        </w:trPr>
        <w:tc>
          <w:tcPr>
            <w:tcW w:type="dxa" w:w="6521"/>
            <w:tcBorders/>
          </w:tcPr>
          <w:p>
            <w:pPr>
              <w:pStyle w:val="Default"/>
              <w:spacing w:line="240" w:lineRule="auto"/>
              <w:rPr>
                <w:sz w:val="20"/>
                <w:szCs w:val="20"/>
              </w:rPr>
            </w:pPr>
            <w:r>
              <w:rPr>
                <w:sz w:val="20"/>
                <w:szCs w:val="20"/>
              </w:rPr>
              <w:t xml:space="preserve">Number of students registered on UoC awards in partnerships (Non SD)</w:t>
            </w:r>
          </w:p>
        </w:tc>
        <w:tc>
          <w:tcPr>
            <w:tcW w:type="dxa" w:w="1181"/>
            <w:tcBorders/>
          </w:tcPr>
          <w:p>
            <w:pPr>
              <w:pStyle w:val="Default"/>
              <w:spacing w:line="240" w:lineRule="auto"/>
              <w:jc w:val="center"/>
              <w:rPr>
                <w:sz w:val="20"/>
                <w:szCs w:val="20"/>
              </w:rPr>
            </w:pPr>
            <w:r>
              <w:rPr>
                <w:sz w:val="20"/>
                <w:szCs w:val="20"/>
              </w:rPr>
              <w:t xml:space="preserve">1</w:t>
            </w:r>
            <w:r>
              <w:rPr>
                <w:sz w:val="20"/>
                <w:szCs w:val="20"/>
              </w:rPr>
              <w:t xml:space="preserve">5</w:t>
            </w:r>
            <w:r>
              <w:rPr>
                <w:sz w:val="20"/>
                <w:szCs w:val="20"/>
              </w:rPr>
              <w:t xml:space="preserve">16</w:t>
            </w:r>
          </w:p>
        </w:tc>
        <w:tc>
          <w:tcPr>
            <w:tcW w:type="dxa" w:w="1181"/>
            <w:tcBorders/>
          </w:tcPr>
          <w:p>
            <w:pPr>
              <w:pStyle w:val="Default"/>
              <w:spacing w:line="240" w:lineRule="auto"/>
              <w:jc w:val="center"/>
              <w:rPr>
                <w:sz w:val="20"/>
                <w:szCs w:val="20"/>
              </w:rPr>
            </w:pPr>
            <w:r>
              <w:rPr>
                <w:sz w:val="20"/>
                <w:szCs w:val="20"/>
              </w:rPr>
              <w:t xml:space="preserve">1</w:t>
            </w:r>
            <w:r>
              <w:rPr>
                <w:sz w:val="20"/>
                <w:szCs w:val="20"/>
              </w:rPr>
              <w:t xml:space="preserve">940</w:t>
            </w:r>
          </w:p>
        </w:tc>
        <w:tc>
          <w:tcPr>
            <w:tcW w:type="dxa" w:w="1181"/>
            <w:tcBorders/>
          </w:tcPr>
          <w:p>
            <w:pPr>
              <w:pStyle w:val="Default"/>
              <w:spacing w:line="240" w:lineRule="auto"/>
              <w:jc w:val="center"/>
              <w:rPr>
                <w:sz w:val="20"/>
                <w:szCs w:val="20"/>
              </w:rPr>
            </w:pPr>
            <w:r>
              <w:rPr>
                <w:sz w:val="20"/>
                <w:szCs w:val="20"/>
              </w:rPr>
              <w:t xml:space="preserve">2185</w:t>
            </w:r>
          </w:p>
        </w:tc>
      </w:tr>
    </w:tbl>
    <w:p>
      <w:pPr>
        <w:pStyle w:val="NoSpacing"/>
        <w:spacing w:line="240" w:lineRule="auto"/>
        <w:rPr>
          <w:rFonts w:ascii="Calibri" w:hAnsi="Calibri" w:eastAsia="Calibri" w:cs="Calibri"/>
          <w:sz w:val="22"/>
          <w:szCs w:val="22"/>
        </w:rPr>
      </w:pPr>
    </w:p>
    <w:p>
      <w:pPr>
        <w:pStyle w:val="NoSpacing"/>
        <w:spacing w:line="240" w:lineRule="auto"/>
        <w:rPr>
          <w:rFonts w:ascii="Calibri" w:hAnsi="Calibri" w:eastAsia="Calibri" w:cs="Calibri"/>
          <w:sz w:val="22"/>
          <w:szCs w:val="22"/>
        </w:rPr>
      </w:pPr>
    </w:p>
    <w:p>
      <w:pPr>
        <w:pStyle w:val="NoSpacing"/>
        <w:spacing w:line="240" w:lineRule="auto"/>
        <w:rPr>
          <w:rFonts w:ascii="Calibri" w:hAnsi="Calibri" w:eastAsia="Calibri" w:cs="Calibri"/>
          <w:sz w:val="22"/>
          <w:szCs w:val="22"/>
        </w:rPr>
      </w:pPr>
    </w:p>
    <w:p>
      <w:pPr>
        <w:pStyle w:val="NoSpacing"/>
        <w:spacing w:line="240" w:lineRule="auto"/>
        <w:rPr>
          <w:rFonts w:ascii="Calibri" w:hAnsi="Calibri" w:eastAsia="Calibri" w:cs="Calibri"/>
          <w:sz w:val="22"/>
          <w:szCs w:val="22"/>
        </w:rPr>
      </w:pPr>
    </w:p>
    <w:p>
      <w:pPr>
        <w:pStyle w:val="NoSpacing"/>
        <w:spacing w:line="240" w:lineRule="auto"/>
        <w:rPr>
          <w:rFonts w:ascii="Calibri" w:hAnsi="Calibri" w:eastAsia="Calibri" w:cs="Calibri"/>
          <w:sz w:val="22"/>
          <w:szCs w:val="22"/>
        </w:rPr>
      </w:pPr>
    </w:p>
    <w:p>
      <w:pPr>
        <w:pStyle w:val="NoSpacing"/>
        <w:spacing w:line="240" w:lineRule="auto"/>
        <w:rPr>
          <w:rFonts w:ascii="Calibri" w:hAnsi="Calibri" w:eastAsia="Calibri" w:cs="Calibri"/>
          <w:b/>
          <w:sz w:val="20"/>
          <w:szCs w:val="20"/>
        </w:rPr>
      </w:pPr>
      <w:r>
        <w:rPr/>
        <w:br w:type="page"/>
      </w:r>
      <w:r>
        <w:rPr>
          <w:rFonts w:ascii="Calibri" w:hAnsi="Calibri" w:eastAsia="Calibri" w:cs="Calibri"/>
          <w:b/>
          <w:sz w:val="20"/>
          <w:szCs w:val="20"/>
        </w:rPr>
        <w:t xml:space="preserve">The University of Cumbria’s Approach to Academic Collaborative Provision within the </w:t>
      </w:r>
      <w:r>
        <w:rPr>
          <w:rFonts w:ascii="Calibri" w:hAnsi="Calibri" w:eastAsia="Calibri" w:cs="Calibri"/>
          <w:b/>
          <w:sz w:val="20"/>
          <w:szCs w:val="20"/>
        </w:rPr>
        <w:t xml:space="preserve">Regional </w:t>
      </w:r>
      <w:r>
        <w:rPr>
          <w:rFonts w:ascii="Calibri" w:hAnsi="Calibri" w:eastAsia="Calibri" w:cs="Calibri"/>
          <w:b/>
          <w:sz w:val="20"/>
          <w:szCs w:val="20"/>
        </w:rPr>
        <w:t xml:space="preserve">Tier</w:t>
      </w:r>
    </w:p>
    <w:p>
      <w:pPr>
        <w:pStyle w:val="NoSpacing"/>
        <w:spacing w:line="240" w:lineRule="auto"/>
        <w:rPr>
          <w:rFonts w:ascii="Calibri" w:hAnsi="Calibri" w:eastAsia="Calibri" w:cs="Calibri"/>
          <w:b/>
          <w:sz w:val="20"/>
          <w:szCs w:val="20"/>
        </w:rPr>
      </w:pPr>
    </w:p>
    <w:tbl>
      <w:tblPr>
        <w:tblW w:w="11199"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
        <w:tblDescription w:val=""/>
      </w:tblPr>
      <w:tblGrid>
        <w:gridCol w:w="2269"/>
        <w:gridCol w:w="8930"/>
      </w:tblGrid>
      <w:tr>
        <w:trPr>
          <w:jc w:val="left"/>
        </w:trPr>
        <w:tc>
          <w:tcPr>
            <w:tcW w:type="dxa" w:w="226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Where is this tier?</w:t>
            </w:r>
          </w:p>
        </w:tc>
        <w:tc>
          <w:tcPr>
            <w:tcW w:type="dxa" w:w="8930"/>
            <w:tcBorders/>
            <w:shd w:fill="auto" w:color="auto" w:val="clear"/>
          </w:tcPr>
          <w:p>
            <w:pPr>
              <w:pStyle w:val="NoSpacing"/>
              <w:spacing w:line="240" w:lineRule="auto"/>
              <w:rPr>
                <w:rFonts w:ascii="Calibri" w:hAnsi="Calibri" w:eastAsia="Calibri" w:cs="Tahoma"/>
                <w:bCs/>
                <w:sz w:val="20"/>
                <w:szCs w:val="20"/>
              </w:rPr>
            </w:pPr>
            <w:r>
              <w:rPr>
                <w:rFonts w:ascii="Calibri" w:hAnsi="Calibri" w:eastAsia="Calibri" w:cs="Calibri"/>
                <w:sz w:val="20"/>
                <w:szCs w:val="20"/>
              </w:rPr>
              <w:t xml:space="preserve">Cumbria and North Lancashire, East London for ITT southern Scotland, the North East, North and West Yorkshire, and Greater Lancashire</w:t>
            </w:r>
          </w:p>
        </w:tc>
      </w:tr>
      <w:tr>
        <w:trPr>
          <w:jc w:val="left"/>
        </w:trPr>
        <w:tc>
          <w:tcPr>
            <w:tcW w:type="dxa" w:w="226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Who is in this tier?</w:t>
            </w:r>
          </w:p>
          <w:p>
            <w:pPr>
              <w:pStyle w:val="NoSpacing"/>
              <w:spacing w:line="240" w:lineRule="auto"/>
              <w:rPr>
                <w:rFonts w:ascii="Calibri" w:hAnsi="Calibri" w:eastAsia="Calibri" w:cs="Calibri"/>
                <w:b/>
                <w:sz w:val="20"/>
                <w:szCs w:val="20"/>
              </w:rPr>
            </w:pPr>
          </w:p>
        </w:tc>
        <w:tc>
          <w:tcPr>
            <w:tcW w:type="dxa" w:w="8930"/>
            <w:tcBorders/>
            <w:shd w:fill="auto" w:color="auto" w:val="clear"/>
          </w:tcPr>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F</w:t>
            </w:r>
            <w:r>
              <w:rPr>
                <w:rFonts w:ascii="Calibri" w:hAnsi="Calibri" w:eastAsia="Calibri" w:cs="Calibri"/>
                <w:sz w:val="20"/>
                <w:szCs w:val="20"/>
              </w:rPr>
              <w:t xml:space="preserve">E Colleges</w:t>
            </w:r>
            <w:r>
              <w:rPr>
                <w:rFonts w:ascii="Calibri" w:hAnsi="Calibri" w:eastAsia="Calibri" w:cs="Calibri"/>
                <w:sz w:val="20"/>
                <w:szCs w:val="20"/>
              </w:rPr>
              <w:t xml:space="preserve">, Other publicly funded HE providers, private and work based learning and training providers, other learning and education providers, employers and other relevant</w:t>
            </w:r>
            <w:r>
              <w:rPr>
                <w:rFonts w:ascii="Calibri" w:hAnsi="Calibri" w:eastAsia="Calibri" w:cs="Calibri"/>
                <w:sz w:val="20"/>
                <w:szCs w:val="20"/>
              </w:rPr>
              <w:t xml:space="preserve">/ </w:t>
            </w:r>
            <w:r>
              <w:rPr>
                <w:rFonts w:ascii="Calibri" w:hAnsi="Calibri" w:eastAsia="Calibri" w:cs="Calibri"/>
                <w:sz w:val="20"/>
                <w:szCs w:val="20"/>
              </w:rPr>
              <w:t xml:space="preserve">suitable partners</w:t>
            </w:r>
          </w:p>
        </w:tc>
      </w:tr>
      <w:tr>
        <w:trPr>
          <w:jc w:val="left"/>
        </w:trPr>
        <w:tc>
          <w:tcPr>
            <w:tcW w:type="dxa" w:w="226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Why do we want to work with this tier?</w:t>
            </w:r>
          </w:p>
          <w:p>
            <w:pPr>
              <w:pStyle w:val="NoSpacing"/>
              <w:spacing w:line="240" w:lineRule="auto"/>
              <w:rPr>
                <w:rFonts w:ascii="Calibri" w:hAnsi="Calibri" w:eastAsia="Calibri" w:cs="Calibri"/>
                <w:b/>
                <w:sz w:val="20"/>
                <w:szCs w:val="20"/>
              </w:rPr>
            </w:pPr>
          </w:p>
        </w:tc>
        <w:tc>
          <w:tcPr>
            <w:tcW w:type="dxa" w:w="8930"/>
            <w:tcBorders/>
            <w:shd w:fill="auto" w:color="auto" w:val="clear"/>
          </w:tcPr>
          <w:p>
            <w:pPr>
              <w:pStyle w:val="NoSpacing"/>
              <w:numPr>
                <w:ilvl w:val="0"/>
                <w:numId w:val="11"/>
              </w:numPr>
              <w:spacing w:line="240" w:lineRule="auto"/>
              <w:rPr>
                <w:rFonts w:ascii="Calibri" w:hAnsi="Calibri" w:eastAsia="Calibri" w:cs="Tahoma"/>
                <w:bCs/>
                <w:sz w:val="20"/>
                <w:szCs w:val="20"/>
              </w:rPr>
            </w:pPr>
            <w:r>
              <w:rPr>
                <w:rFonts w:ascii="Calibri" w:hAnsi="Calibri" w:eastAsia="Calibri" w:cs="Tahoma"/>
                <w:bCs/>
                <w:sz w:val="20"/>
                <w:szCs w:val="20"/>
              </w:rPr>
              <w:t xml:space="preserve">Widening participation, recruitment and progression opportunities</w:t>
            </w:r>
          </w:p>
          <w:p>
            <w:pPr>
              <w:pStyle w:val="NoSpacing"/>
              <w:numPr>
                <w:ilvl w:val="0"/>
                <w:numId w:val="11"/>
              </w:numPr>
              <w:spacing w:line="240" w:lineRule="auto"/>
              <w:rPr>
                <w:rFonts w:ascii="Calibri" w:hAnsi="Calibri" w:eastAsia="Calibri" w:cs="Tahoma"/>
                <w:bCs/>
                <w:sz w:val="20"/>
                <w:szCs w:val="20"/>
              </w:rPr>
            </w:pPr>
            <w:r>
              <w:rPr>
                <w:rFonts w:ascii="Calibri" w:hAnsi="Calibri" w:eastAsia="Calibri" w:cs="Tahoma"/>
                <w:bCs/>
                <w:sz w:val="20"/>
                <w:szCs w:val="20"/>
              </w:rPr>
              <w:t xml:space="preserve">Developing higher skills</w:t>
            </w:r>
          </w:p>
          <w:p>
            <w:pPr>
              <w:pStyle w:val="NoSpacing"/>
              <w:numPr>
                <w:ilvl w:val="0"/>
                <w:numId w:val="11"/>
              </w:numPr>
              <w:spacing w:line="240" w:lineRule="auto"/>
              <w:rPr>
                <w:rFonts w:ascii="Calibri" w:hAnsi="Calibri" w:eastAsia="Calibri" w:cs="Tahoma"/>
                <w:bCs/>
                <w:sz w:val="20"/>
                <w:szCs w:val="20"/>
              </w:rPr>
            </w:pPr>
            <w:r>
              <w:rPr>
                <w:rFonts w:ascii="Calibri" w:hAnsi="Calibri" w:eastAsia="Calibri" w:cs="Tahoma"/>
                <w:bCs/>
                <w:sz w:val="20"/>
                <w:szCs w:val="20"/>
              </w:rPr>
              <w:t xml:space="preserve">A shared concern for complementary curriculum through  the co-development and delivery of curriculum </w:t>
            </w:r>
          </w:p>
        </w:tc>
      </w:tr>
      <w:tr>
        <w:trPr>
          <w:jc w:val="left"/>
        </w:trPr>
        <w:tc>
          <w:tcPr>
            <w:tcW w:type="dxa" w:w="226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What will we do with this tier?</w:t>
            </w:r>
          </w:p>
          <w:p>
            <w:pPr>
              <w:pStyle w:val="NoSpacing"/>
              <w:spacing w:line="240" w:lineRule="auto"/>
              <w:rPr>
                <w:rFonts w:ascii="Calibri" w:hAnsi="Calibri" w:eastAsia="Calibri" w:cs="Calibri"/>
                <w:b/>
                <w:sz w:val="20"/>
                <w:szCs w:val="20"/>
              </w:rPr>
            </w:pPr>
          </w:p>
        </w:tc>
        <w:tc>
          <w:tcPr>
            <w:tcW w:type="dxa" w:w="8930"/>
            <w:tcBorders/>
            <w:shd w:fill="auto" w:color="auto" w:val="clear"/>
          </w:tcPr>
          <w:p>
            <w:pPr>
              <w:pStyle w:val="NoSpacing"/>
              <w:spacing w:line="240" w:lineRule="auto"/>
              <w:rPr>
                <w:rFonts w:ascii="Calibri" w:hAnsi="Calibri" w:eastAsia="Calibri" w:cs="Tahoma"/>
                <w:bCs/>
                <w:sz w:val="20"/>
                <w:szCs w:val="20"/>
              </w:rPr>
            </w:pPr>
            <w:r>
              <w:rPr>
                <w:rFonts w:ascii="Calibri" w:hAnsi="Calibri" w:eastAsia="Calibri" w:cs="Tahoma"/>
                <w:bCs/>
                <w:sz w:val="20"/>
                <w:szCs w:val="20"/>
              </w:rPr>
              <w:t xml:space="preserve">We will prioritise:</w:t>
            </w:r>
          </w:p>
          <w:p>
            <w:pPr>
              <w:pStyle w:val="NoSpacing"/>
              <w:numPr>
                <w:ilvl w:val="0"/>
                <w:numId w:val="4"/>
              </w:numPr>
              <w:spacing w:line="240" w:lineRule="auto"/>
              <w:rPr>
                <w:rFonts w:ascii="Calibri" w:hAnsi="Calibri" w:eastAsia="Calibri" w:cs="Tahoma"/>
                <w:bCs/>
                <w:sz w:val="20"/>
                <w:szCs w:val="20"/>
              </w:rPr>
            </w:pPr>
            <w:r>
              <w:rPr>
                <w:rFonts w:ascii="Calibri" w:hAnsi="Calibri" w:eastAsia="Calibri" w:cs="Tahoma"/>
                <w:bCs/>
                <w:sz w:val="20"/>
                <w:szCs w:val="20"/>
              </w:rPr>
              <w:t xml:space="preserve">Guaranteed Progression or Articulation</w:t>
            </w:r>
          </w:p>
          <w:p>
            <w:pPr>
              <w:pStyle w:val="NoSpacing"/>
              <w:numPr>
                <w:ilvl w:val="0"/>
                <w:numId w:val="4"/>
              </w:numPr>
              <w:spacing w:line="240" w:lineRule="auto"/>
              <w:rPr>
                <w:rFonts w:ascii="Calibri" w:hAnsi="Calibri" w:eastAsia="Calibri" w:cs="Tahoma"/>
                <w:bCs/>
                <w:sz w:val="20"/>
                <w:szCs w:val="20"/>
              </w:rPr>
            </w:pPr>
            <w:r>
              <w:rPr>
                <w:rFonts w:ascii="Calibri" w:hAnsi="Calibri" w:eastAsia="Calibri" w:cs="Tahoma"/>
                <w:bCs/>
                <w:sz w:val="20"/>
                <w:szCs w:val="20"/>
              </w:rPr>
              <w:t xml:space="preserve">Franchise of partial awards with UoC delivery of  final level(s) to FECs and </w:t>
            </w:r>
            <w:r>
              <w:rPr>
                <w:rFonts w:ascii="Calibri" w:hAnsi="Calibri" w:eastAsia="Calibri" w:cs="Calibri"/>
                <w:sz w:val="20"/>
                <w:szCs w:val="20"/>
              </w:rPr>
              <w:t xml:space="preserve">other publicly funded HE providers</w:t>
            </w:r>
          </w:p>
          <w:p>
            <w:pPr>
              <w:pStyle w:val="NoSpacing"/>
              <w:numPr>
                <w:ilvl w:val="0"/>
                <w:numId w:val="4"/>
              </w:numPr>
              <w:spacing w:line="240" w:lineRule="auto"/>
              <w:rPr>
                <w:rFonts w:ascii="Calibri" w:hAnsi="Calibri" w:eastAsia="Calibri" w:cs="Tahoma"/>
                <w:bCs/>
                <w:sz w:val="20"/>
                <w:szCs w:val="20"/>
              </w:rPr>
            </w:pPr>
            <w:r>
              <w:rPr>
                <w:rFonts w:ascii="Calibri" w:hAnsi="Calibri" w:eastAsia="Calibri" w:cs="Tahoma"/>
                <w:bCs/>
                <w:sz w:val="20"/>
                <w:szCs w:val="20"/>
              </w:rPr>
              <w:t xml:space="preserve">Shared Delivery of UoC Awards with FECs and </w:t>
            </w:r>
            <w:r>
              <w:rPr>
                <w:rFonts w:ascii="Calibri" w:hAnsi="Calibri" w:eastAsia="Calibri" w:cs="Calibri"/>
                <w:sz w:val="20"/>
                <w:szCs w:val="20"/>
              </w:rPr>
              <w:t xml:space="preserve">other publicly funded HE providers</w:t>
            </w:r>
          </w:p>
          <w:p>
            <w:pPr>
              <w:pStyle w:val="NoSpacing"/>
              <w:numPr>
                <w:ilvl w:val="0"/>
                <w:numId w:val="4"/>
              </w:numPr>
              <w:spacing w:line="240" w:lineRule="auto"/>
              <w:rPr>
                <w:rFonts w:ascii="Calibri" w:hAnsi="Calibri" w:eastAsia="Calibri" w:cs="Tahoma"/>
                <w:bCs/>
                <w:sz w:val="20"/>
                <w:szCs w:val="20"/>
              </w:rPr>
            </w:pPr>
            <w:r>
              <w:rPr>
                <w:rFonts w:ascii="Calibri" w:hAnsi="Calibri" w:eastAsia="Calibri" w:cs="Calibri"/>
                <w:sz w:val="20"/>
                <w:szCs w:val="20"/>
              </w:rPr>
              <w:t xml:space="preserve">Off Site delivery</w:t>
            </w:r>
          </w:p>
          <w:p>
            <w:pPr>
              <w:pStyle w:val="NoSpacing"/>
              <w:numPr>
                <w:ilvl w:val="0"/>
                <w:numId w:val="4"/>
              </w:numPr>
              <w:spacing w:line="240" w:lineRule="auto"/>
              <w:rPr>
                <w:rFonts w:ascii="Calibri" w:hAnsi="Calibri" w:eastAsia="Calibri" w:cs="Calibri"/>
                <w:b/>
                <w:sz w:val="20"/>
                <w:szCs w:val="20"/>
              </w:rPr>
            </w:pPr>
            <w:r>
              <w:rPr>
                <w:rFonts w:ascii="Calibri" w:hAnsi="Calibri" w:eastAsia="Calibri" w:cs="Tahoma"/>
                <w:bCs/>
                <w:sz w:val="20"/>
                <w:szCs w:val="20"/>
              </w:rPr>
              <w:t xml:space="preserve">Full validation and franchise at levels 4 and 5 or level 6 where a partner has FDAP with FECs and </w:t>
            </w:r>
            <w:r>
              <w:rPr>
                <w:rFonts w:ascii="Calibri" w:hAnsi="Calibri" w:eastAsia="Calibri" w:cs="Calibri"/>
                <w:sz w:val="20"/>
                <w:szCs w:val="20"/>
              </w:rPr>
              <w:t xml:space="preserve">other publicly funded HE providers</w:t>
            </w:r>
            <w:r>
              <w:rPr>
                <w:rFonts w:ascii="Calibri" w:hAnsi="Calibri" w:eastAsia="Calibri" w:cs="Calibri"/>
                <w:sz w:val="20"/>
                <w:szCs w:val="20"/>
              </w:rPr>
              <w:t xml:space="preserve"> </w:t>
            </w:r>
            <w:r>
              <w:rPr>
                <w:rFonts w:ascii="Calibri" w:hAnsi="Calibri" w:eastAsia="Calibri" w:cs="Tahoma"/>
                <w:bCs/>
                <w:sz w:val="20"/>
                <w:szCs w:val="20"/>
              </w:rPr>
              <w:t xml:space="preserve">and may consider other ACP relationships</w:t>
            </w:r>
          </w:p>
        </w:tc>
      </w:tr>
      <w:tr>
        <w:trPr>
          <w:jc w:val="left"/>
        </w:trPr>
        <w:tc>
          <w:tcPr>
            <w:tcW w:type="dxa" w:w="2269"/>
            <w:tcBorders/>
            <w:shd w:fill="auto" w:color="auto" w:val="clear"/>
          </w:tcPr>
          <w:p>
            <w:pPr>
              <w:pStyle w:val="Default"/>
              <w:spacing w:line="240" w:lineRule="auto"/>
              <w:rPr>
                <w:color w:val="auto"/>
                <w:sz w:val="20"/>
                <w:szCs w:val="20"/>
              </w:rPr>
            </w:pPr>
            <w:r>
              <w:rPr>
                <w:b/>
                <w:bCs/>
                <w:iCs/>
                <w:color w:val="auto"/>
                <w:sz w:val="20"/>
                <w:szCs w:val="20"/>
              </w:rPr>
              <w:t xml:space="preserve">Where we are now: </w:t>
            </w:r>
          </w:p>
          <w:p>
            <w:pPr>
              <w:pStyle w:val="NoSpacing"/>
              <w:spacing w:line="240" w:lineRule="auto"/>
              <w:rPr>
                <w:rFonts w:ascii="Calibri" w:hAnsi="Calibri" w:eastAsia="Calibri" w:cs="Calibri"/>
                <w:b/>
                <w:sz w:val="20"/>
                <w:szCs w:val="20"/>
              </w:rPr>
            </w:pPr>
          </w:p>
        </w:tc>
        <w:tc>
          <w:tcPr>
            <w:tcW w:type="dxa" w:w="8930"/>
            <w:tcBorders/>
            <w:shd w:fill="auto" w:color="auto" w:val="clear"/>
          </w:tcPr>
          <w:p>
            <w:pPr>
              <w:pStyle w:val="Default"/>
              <w:spacing w:line="240" w:lineRule="auto"/>
              <w:rPr>
                <w:color w:val="auto"/>
                <w:sz w:val="20"/>
                <w:szCs w:val="20"/>
              </w:rPr>
            </w:pPr>
            <w:r>
              <w:rPr>
                <w:color w:val="auto"/>
                <w:sz w:val="20"/>
                <w:szCs w:val="20"/>
              </w:rPr>
              <w:t xml:space="preserve">Currently we have 9</w:t>
            </w:r>
            <w:r>
              <w:rPr>
                <w:color w:val="auto"/>
                <w:sz w:val="20"/>
                <w:szCs w:val="20"/>
              </w:rPr>
              <w:t xml:space="preserve"> local partners with formal agreements </w:t>
            </w:r>
            <w:r>
              <w:rPr>
                <w:sz w:val="20"/>
                <w:szCs w:val="20"/>
              </w:rPr>
              <w:t xml:space="preserve">(institutional approval and </w:t>
            </w:r>
            <w:r>
              <w:rPr>
                <w:sz w:val="20"/>
                <w:szCs w:val="20"/>
              </w:rPr>
              <w:t xml:space="preserve">progression</w:t>
            </w:r>
            <w:r>
              <w:rPr>
                <w:sz w:val="20"/>
                <w:szCs w:val="20"/>
              </w:rPr>
              <w:t xml:space="preserve">/articulation agreements)</w:t>
            </w:r>
            <w:r>
              <w:rPr>
                <w:color w:val="auto"/>
                <w:sz w:val="20"/>
                <w:szCs w:val="20"/>
              </w:rPr>
              <w:t xml:space="preserve"> and</w:t>
            </w:r>
            <w:r>
              <w:rPr>
                <w:color w:val="auto"/>
                <w:sz w:val="20"/>
                <w:szCs w:val="20"/>
              </w:rPr>
              <w:t xml:space="preserve"> 2</w:t>
            </w:r>
            <w:r>
              <w:rPr>
                <w:color w:val="auto"/>
                <w:sz w:val="20"/>
                <w:szCs w:val="20"/>
              </w:rPr>
              <w:t xml:space="preserve">96</w:t>
            </w:r>
            <w:r>
              <w:rPr>
                <w:color w:val="auto"/>
                <w:sz w:val="20"/>
                <w:szCs w:val="20"/>
              </w:rPr>
              <w:t xml:space="preserve"> students studying on UoC validated programmes [May 2013].  The programmes offered are mainly foundation degrees with two partners offering BSc and BEng.</w:t>
            </w:r>
          </w:p>
        </w:tc>
      </w:tr>
      <w:tr>
        <w:trPr>
          <w:jc w:val="left"/>
        </w:trPr>
        <w:tc>
          <w:tcPr>
            <w:tcW w:type="dxa" w:w="2269"/>
            <w:tcBorders/>
            <w:shd w:fill="auto" w:color="auto" w:val="clear"/>
          </w:tcPr>
          <w:p>
            <w:pPr>
              <w:pStyle w:val="Default"/>
              <w:spacing w:line="240" w:lineRule="auto"/>
              <w:rPr>
                <w:color w:val="auto"/>
                <w:sz w:val="20"/>
                <w:szCs w:val="20"/>
              </w:rPr>
            </w:pPr>
            <w:r>
              <w:rPr>
                <w:b/>
                <w:bCs/>
                <w:iCs/>
                <w:color w:val="auto"/>
                <w:sz w:val="20"/>
                <w:szCs w:val="20"/>
              </w:rPr>
              <w:t xml:space="preserve">Where we want be: </w:t>
            </w:r>
          </w:p>
          <w:p>
            <w:pPr>
              <w:pStyle w:val="NoSpacing"/>
              <w:spacing w:line="240" w:lineRule="auto"/>
              <w:rPr>
                <w:rFonts w:ascii="Calibri" w:hAnsi="Calibri" w:eastAsia="Calibri" w:cs="Calibri"/>
                <w:b/>
                <w:sz w:val="20"/>
                <w:szCs w:val="20"/>
              </w:rPr>
            </w:pPr>
          </w:p>
        </w:tc>
        <w:tc>
          <w:tcPr>
            <w:tcW w:type="dxa" w:w="8930"/>
            <w:tcBorders/>
            <w:shd w:fill="auto" w:color="auto" w:val="clear"/>
          </w:tcPr>
          <w:p>
            <w:pPr>
              <w:pStyle w:val="Default"/>
              <w:numPr>
                <w:ilvl w:val="0"/>
                <w:numId w:val="9"/>
              </w:numPr>
              <w:spacing w:line="240" w:lineRule="auto"/>
              <w:rPr>
                <w:color w:val="auto"/>
                <w:sz w:val="20"/>
                <w:szCs w:val="20"/>
              </w:rPr>
            </w:pPr>
            <w:r>
              <w:rPr>
                <w:sz w:val="20"/>
                <w:szCs w:val="20"/>
              </w:rPr>
              <w:t xml:space="preserve">We want to have strong relationships with regional partners to support progression, articulation and widening participation.  We want to be a partner of first choice working with these partners to support the delivery of HE within the region and to support the development of higher skills.</w:t>
            </w:r>
          </w:p>
          <w:p>
            <w:pPr>
              <w:pStyle w:val="Default"/>
              <w:numPr>
                <w:ilvl w:val="0"/>
                <w:numId w:val="9"/>
              </w:numPr>
              <w:spacing w:line="240" w:lineRule="auto"/>
              <w:rPr>
                <w:color w:val="auto"/>
                <w:sz w:val="20"/>
                <w:szCs w:val="20"/>
              </w:rPr>
            </w:pPr>
            <w:r>
              <w:rPr>
                <w:color w:val="auto"/>
                <w:sz w:val="20"/>
                <w:szCs w:val="20"/>
              </w:rPr>
              <w:t xml:space="preserve">Our aim is to consolidate work with our existing partners and increase the number of local partners to include a small number of publicly funded training providers whilst rationalising the programmes being offered by existing partners.  We will aim to increase the numbers of students progressing to the UoC via progression agreements.</w:t>
            </w:r>
          </w:p>
          <w:p>
            <w:pPr>
              <w:pStyle w:val="Default"/>
              <w:numPr>
                <w:ilvl w:val="0"/>
                <w:numId w:val="9"/>
              </w:numPr>
              <w:spacing w:line="240" w:lineRule="auto"/>
              <w:rPr>
                <w:color w:val="auto"/>
                <w:sz w:val="20"/>
                <w:szCs w:val="20"/>
              </w:rPr>
            </w:pPr>
            <w:r>
              <w:rPr>
                <w:sz w:val="20"/>
                <w:szCs w:val="20"/>
              </w:rPr>
              <w:t xml:space="preserve">We aim to have formal agreements with all regional FECs.</w:t>
            </w:r>
          </w:p>
        </w:tc>
      </w:tr>
      <w:tr>
        <w:trPr>
          <w:jc w:val="left"/>
        </w:trPr>
        <w:tc>
          <w:tcPr>
            <w:tcW w:type="dxa" w:w="2269"/>
            <w:tcBorders/>
            <w:shd w:fill="auto" w:color="auto" w:val="clear"/>
          </w:tcPr>
          <w:p>
            <w:pPr>
              <w:pStyle w:val="Default"/>
              <w:spacing w:line="240" w:lineRule="auto"/>
              <w:rPr>
                <w:color w:val="auto"/>
                <w:sz w:val="20"/>
                <w:szCs w:val="20"/>
              </w:rPr>
            </w:pPr>
            <w:r>
              <w:rPr>
                <w:b/>
                <w:bCs/>
                <w:iCs/>
                <w:color w:val="auto"/>
                <w:sz w:val="20"/>
                <w:szCs w:val="20"/>
              </w:rPr>
              <w:t xml:space="preserve">How will we get there: </w:t>
            </w:r>
          </w:p>
          <w:p>
            <w:pPr>
              <w:pStyle w:val="NoSpacing"/>
              <w:spacing w:line="240" w:lineRule="auto"/>
              <w:rPr>
                <w:rFonts w:ascii="Calibri" w:hAnsi="Calibri" w:eastAsia="Calibri" w:cs="Calibri"/>
                <w:b/>
                <w:sz w:val="20"/>
                <w:szCs w:val="20"/>
              </w:rPr>
            </w:pPr>
          </w:p>
        </w:tc>
        <w:tc>
          <w:tcPr>
            <w:tcW w:type="dxa" w:w="8930"/>
            <w:tcBorders/>
            <w:shd w:fill="auto" w:color="auto" w:val="clear"/>
          </w:tcPr>
          <w:p>
            <w:pPr>
              <w:pStyle w:val="Default"/>
              <w:spacing w:after="56" w:line="240" w:lineRule="auto"/>
              <w:rPr>
                <w:color w:val="auto"/>
                <w:sz w:val="20"/>
                <w:szCs w:val="20"/>
              </w:rPr>
            </w:pPr>
            <w:r>
              <w:rPr>
                <w:color w:val="auto"/>
                <w:sz w:val="20"/>
                <w:szCs w:val="20"/>
              </w:rPr>
              <w:t xml:space="preserve">We will work </w:t>
            </w:r>
            <w:r>
              <w:rPr>
                <w:color w:val="auto"/>
                <w:sz w:val="20"/>
                <w:szCs w:val="20"/>
              </w:rPr>
              <w:t xml:space="preserve">with our local partners to identify opportunities for further partnership activity with them. This work will be supported by WP access activity alongside partnership development. We will offer an approach to partnership which encourages local partners to see us as their partner of first choice.</w:t>
            </w:r>
          </w:p>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We </w:t>
            </w:r>
            <w:r>
              <w:rPr>
                <w:rFonts w:ascii="Calibri" w:hAnsi="Calibri" w:eastAsia="Calibri" w:cs="Calibri"/>
                <w:sz w:val="20"/>
                <w:szCs w:val="20"/>
              </w:rPr>
              <w:t xml:space="preserve">will work with </w:t>
            </w:r>
            <w:r>
              <w:rPr>
                <w:rFonts w:ascii="Calibri" w:hAnsi="Calibri" w:eastAsia="Calibri" w:cs="Calibri"/>
                <w:sz w:val="20"/>
                <w:szCs w:val="20"/>
              </w:rPr>
              <w:t xml:space="preserve">10 potential </w:t>
            </w:r>
            <w:r>
              <w:rPr>
                <w:rFonts w:ascii="Calibri" w:hAnsi="Calibri" w:eastAsia="Calibri" w:cs="Calibri"/>
                <w:sz w:val="20"/>
                <w:szCs w:val="20"/>
              </w:rPr>
              <w:t xml:space="preserve">new </w:t>
            </w:r>
            <w:r>
              <w:rPr>
                <w:rFonts w:ascii="Calibri" w:hAnsi="Calibri" w:eastAsia="Calibri" w:cs="Calibri"/>
                <w:sz w:val="20"/>
                <w:szCs w:val="20"/>
              </w:rPr>
              <w:t xml:space="preserve">partners in this area with the initial aim of developing progressio</w:t>
            </w:r>
            <w:r>
              <w:rPr>
                <w:rFonts w:ascii="Calibri" w:hAnsi="Calibri" w:eastAsia="Calibri" w:cs="Calibri"/>
                <w:sz w:val="20"/>
                <w:szCs w:val="20"/>
              </w:rPr>
              <w:t xml:space="preserve">n and articulation agreements. </w:t>
            </w:r>
          </w:p>
        </w:tc>
      </w:tr>
    </w:tbl>
    <w:p>
      <w:pPr>
        <w:spacing w:line="240" w:lineRule="auto"/>
        <w:rPr>
          <w:rFonts w:ascii="Calibri" w:hAnsi="Calibri" w:eastAsia="Calibri" w:cs="Calibri"/>
        </w:rPr>
      </w:pPr>
    </w:p>
    <w:tbl>
      <w:tblPr>
        <w:tblW w:w="11199"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7656"/>
        <w:gridCol w:w="1181"/>
        <w:gridCol w:w="1181"/>
        <w:gridCol w:w="1181"/>
      </w:tblGrid>
      <w:tr>
        <w:trPr>
          <w:trHeight w:val="266" w:hRule="atLeast"/>
          <w:jc w:val="left"/>
        </w:trPr>
        <w:tc>
          <w:tcPr>
            <w:tcW w:type="dxa" w:w="7656"/>
            <w:tcBorders/>
          </w:tcPr>
          <w:p>
            <w:pPr>
              <w:pStyle w:val="Default"/>
              <w:spacing w:line="240" w:lineRule="auto"/>
              <w:rPr>
                <w:b/>
                <w:color w:val="auto"/>
                <w:sz w:val="20"/>
                <w:szCs w:val="20"/>
              </w:rPr>
            </w:pPr>
            <w:r>
              <w:rPr>
                <w:b/>
                <w:color w:val="auto"/>
                <w:sz w:val="20"/>
                <w:szCs w:val="20"/>
              </w:rPr>
              <w:t xml:space="preserve">Performance Indicators and Milestones (Local tier)</w:t>
            </w:r>
          </w:p>
          <w:p>
            <w:pPr>
              <w:pStyle w:val="Default"/>
              <w:spacing w:line="240" w:lineRule="auto"/>
              <w:rPr>
                <w:sz w:val="20"/>
                <w:szCs w:val="20"/>
              </w:rPr>
            </w:pPr>
          </w:p>
        </w:tc>
        <w:tc>
          <w:tcPr>
            <w:tcW w:type="dxa" w:w="1181"/>
            <w:tcBorders/>
          </w:tcPr>
          <w:p>
            <w:pPr>
              <w:pStyle w:val="Default"/>
              <w:spacing w:line="240" w:lineRule="auto"/>
              <w:jc w:val="center"/>
              <w:rPr>
                <w:sz w:val="20"/>
                <w:szCs w:val="20"/>
              </w:rPr>
            </w:pPr>
            <w:r>
              <w:rPr>
                <w:sz w:val="20"/>
                <w:szCs w:val="20"/>
              </w:rPr>
              <w:t xml:space="preserve">Baseline</w:t>
            </w:r>
          </w:p>
          <w:p>
            <w:pPr>
              <w:pStyle w:val="Default"/>
              <w:spacing w:line="240" w:lineRule="auto"/>
              <w:jc w:val="center"/>
              <w:rPr>
                <w:sz w:val="20"/>
                <w:szCs w:val="20"/>
              </w:rPr>
            </w:pPr>
            <w:r>
              <w:rPr>
                <w:sz w:val="20"/>
                <w:szCs w:val="20"/>
              </w:rPr>
              <w:t xml:space="preserve">2013</w:t>
            </w:r>
          </w:p>
        </w:tc>
        <w:tc>
          <w:tcPr>
            <w:tcW w:type="dxa" w:w="1181"/>
            <w:tcBorders/>
          </w:tcPr>
          <w:p>
            <w:pPr>
              <w:pStyle w:val="Default"/>
              <w:spacing w:line="240" w:lineRule="auto"/>
              <w:jc w:val="center"/>
              <w:rPr>
                <w:sz w:val="20"/>
                <w:szCs w:val="20"/>
              </w:rPr>
            </w:pPr>
            <w:r>
              <w:rPr>
                <w:sz w:val="20"/>
                <w:szCs w:val="20"/>
              </w:rPr>
              <w:t xml:space="preserve">Milestone</w:t>
            </w:r>
          </w:p>
          <w:p>
            <w:pPr>
              <w:pStyle w:val="Default"/>
              <w:spacing w:line="240" w:lineRule="auto"/>
              <w:jc w:val="center"/>
              <w:rPr>
                <w:sz w:val="20"/>
                <w:szCs w:val="20"/>
              </w:rPr>
            </w:pPr>
            <w:r>
              <w:rPr>
                <w:sz w:val="20"/>
                <w:szCs w:val="20"/>
              </w:rPr>
              <w:t xml:space="preserve">2016</w:t>
            </w:r>
          </w:p>
        </w:tc>
        <w:tc>
          <w:tcPr>
            <w:tcW w:type="dxa" w:w="1181"/>
            <w:tcBorders/>
          </w:tcPr>
          <w:p>
            <w:pPr>
              <w:pStyle w:val="Default"/>
              <w:spacing w:line="240" w:lineRule="auto"/>
              <w:jc w:val="center"/>
              <w:rPr>
                <w:sz w:val="20"/>
                <w:szCs w:val="20"/>
              </w:rPr>
            </w:pPr>
            <w:r>
              <w:rPr>
                <w:sz w:val="20"/>
                <w:szCs w:val="20"/>
              </w:rPr>
              <w:t xml:space="preserve">Target</w:t>
            </w:r>
          </w:p>
          <w:p>
            <w:pPr>
              <w:pStyle w:val="Default"/>
              <w:spacing w:line="240" w:lineRule="auto"/>
              <w:jc w:val="center"/>
              <w:rPr>
                <w:sz w:val="20"/>
                <w:szCs w:val="20"/>
              </w:rPr>
            </w:pPr>
            <w:r>
              <w:rPr>
                <w:sz w:val="20"/>
                <w:szCs w:val="20"/>
              </w:rPr>
              <w:t xml:space="preserve">2018</w:t>
            </w:r>
          </w:p>
        </w:tc>
      </w:tr>
      <w:tr>
        <w:trPr>
          <w:trHeight w:val="266" w:hRule="atLeast"/>
          <w:jc w:val="left"/>
        </w:trPr>
        <w:tc>
          <w:tcPr>
            <w:tcW w:type="dxa" w:w="7656"/>
            <w:tcBorders/>
          </w:tcPr>
          <w:p>
            <w:pPr>
              <w:pStyle w:val="Default"/>
              <w:spacing w:line="240" w:lineRule="auto"/>
              <w:rPr>
                <w:sz w:val="20"/>
                <w:szCs w:val="20"/>
              </w:rPr>
            </w:pPr>
            <w:r>
              <w:rPr>
                <w:sz w:val="20"/>
                <w:szCs w:val="20"/>
              </w:rPr>
              <w:t xml:space="preserve">Number of regional tier partners with formal collaborative agreements with UoC</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9</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19</w:t>
            </w:r>
          </w:p>
        </w:tc>
      </w:tr>
      <w:tr>
        <w:trPr>
          <w:trHeight w:val="266" w:hRule="atLeast"/>
          <w:jc w:val="left"/>
        </w:trPr>
        <w:tc>
          <w:tcPr>
            <w:tcW w:type="dxa" w:w="7656"/>
            <w:tcBorders/>
          </w:tcPr>
          <w:p>
            <w:pPr>
              <w:pStyle w:val="Default"/>
              <w:spacing w:line="240" w:lineRule="auto"/>
              <w:rPr>
                <w:sz w:val="20"/>
                <w:szCs w:val="20"/>
              </w:rPr>
            </w:pPr>
            <w:r>
              <w:rPr>
                <w:sz w:val="20"/>
                <w:szCs w:val="20"/>
              </w:rPr>
              <w:t xml:space="preserve">Number of regional tier partners with guaranteed progression/articulation agreements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11</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18</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regional tier partners with franchise/ validation arrangements leading to UoC delivery of final level(s) of award</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4</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9</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12</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regional tier partners with franchise/ validation arrangements not leading to UoC delivery of final level(s) of award</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9</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9</w:t>
            </w:r>
          </w:p>
        </w:tc>
      </w:tr>
      <w:tr>
        <w:trPr>
          <w:trHeight w:val="111" w:hRule="atLeast"/>
          <w:jc w:val="left"/>
        </w:trPr>
        <w:tc>
          <w:tcPr>
            <w:tcW w:type="dxa" w:w="7656"/>
            <w:tcBorders/>
          </w:tcPr>
          <w:p>
            <w:pPr>
              <w:pStyle w:val="NoSpacing"/>
              <w:spacing w:line="240" w:lineRule="auto"/>
              <w:rPr>
                <w:rFonts w:ascii="Calibri" w:hAnsi="Calibri" w:eastAsia="Calibri" w:cs="Calibri"/>
                <w:sz w:val="20"/>
                <w:szCs w:val="20"/>
              </w:rPr>
            </w:pPr>
            <w:r>
              <w:rPr>
                <w:rFonts w:ascii="Calibri" w:hAnsi="Calibri" w:eastAsia="Calibri" w:cs="Tahoma"/>
                <w:bCs/>
                <w:sz w:val="20"/>
                <w:szCs w:val="20"/>
              </w:rPr>
              <w:t xml:space="preserve">Number of UoC delivered Off Site programmes</w:t>
            </w:r>
            <w:r>
              <w:rPr>
                <w:rFonts w:ascii="Calibri" w:hAnsi="Calibri" w:eastAsia="Calibri" w:cs="Tahoma"/>
                <w:bCs/>
                <w:sz w:val="20"/>
                <w:szCs w:val="20"/>
              </w:rPr>
              <w:t xml:space="preserve"> in region</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5</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10</w:t>
            </w:r>
          </w:p>
        </w:tc>
      </w:tr>
      <w:tr>
        <w:trPr>
          <w:trHeight w:val="111" w:hRule="atLeast"/>
          <w:jc w:val="left"/>
        </w:trPr>
        <w:tc>
          <w:tcPr>
            <w:tcW w:type="dxa" w:w="7656"/>
            <w:tcBorders/>
          </w:tcPr>
          <w:p>
            <w:pPr>
              <w:pStyle w:val="NoSpacing"/>
              <w:spacing w:line="240" w:lineRule="auto"/>
              <w:rPr>
                <w:rFonts w:ascii="Calibri" w:hAnsi="Calibri" w:eastAsia="Calibri" w:cs="Calibri"/>
                <w:sz w:val="20"/>
                <w:szCs w:val="20"/>
              </w:rPr>
            </w:pPr>
            <w:r>
              <w:rPr>
                <w:rFonts w:ascii="Calibri" w:hAnsi="Calibri" w:eastAsia="Calibri" w:cs="Tahoma"/>
                <w:bCs/>
                <w:sz w:val="20"/>
                <w:szCs w:val="20"/>
              </w:rPr>
              <w:t xml:space="preserve">Number of Shared Delivery programmes</w:t>
            </w:r>
            <w:r>
              <w:rPr>
                <w:rFonts w:ascii="Calibri" w:hAnsi="Calibri" w:eastAsia="Calibri" w:cs="Tahoma"/>
                <w:bCs/>
                <w:sz w:val="20"/>
                <w:szCs w:val="20"/>
              </w:rPr>
              <w:t xml:space="preserve"> in region</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5</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regional tier partners delivering a single UoC Award</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regional tier partners delivering multiple UoC Awards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4</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8</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15</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School Direct Partners in the Regional  tier</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12</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30</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registered on UoC awards in Regional tier School Direct partnerships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15</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6</w:t>
            </w:r>
            <w:r>
              <w:rPr>
                <w:rFonts w:ascii="Calibri" w:hAnsi="Calibri" w:eastAsia="Calibri" w:cs="Calibri"/>
                <w:sz w:val="20"/>
                <w:szCs w:val="20"/>
              </w:rPr>
              <w:t xml:space="preserve">25</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675</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registered on UoC awards in regional tier partnerships (Non SD)</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296</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230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r>
              <w:rPr>
                <w:rFonts w:ascii="Calibri" w:hAnsi="Calibri" w:eastAsia="Calibri" w:cs="Calibri"/>
                <w:sz w:val="20"/>
                <w:szCs w:val="20"/>
              </w:rPr>
              <w:t xml:space="preserve">60</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from regional tier partnerships who progress or articulate to an award delivered by the University at level 4</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140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200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w:t>
            </w:r>
            <w:r>
              <w:rPr>
                <w:rFonts w:ascii="Calibri" w:hAnsi="Calibri" w:eastAsia="Calibri" w:cs="Calibri"/>
                <w:sz w:val="20"/>
                <w:szCs w:val="20"/>
              </w:rPr>
              <w:t xml:space="preserve">90</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from regional tier partnerships who progress or articulate to an award delivered by the University at level 5 or 6</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40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60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80</w:t>
            </w:r>
          </w:p>
        </w:tc>
      </w:tr>
    </w:tbl>
    <w:p>
      <w:pPr>
        <w:pStyle w:val="NoSpacing"/>
        <w:spacing w:line="240" w:lineRule="auto"/>
        <w:rPr>
          <w:rFonts w:ascii="Calibri" w:hAnsi="Calibri" w:eastAsia="Calibri" w:cs="Calibri"/>
          <w:b/>
          <w:sz w:val="20"/>
          <w:szCs w:val="20"/>
        </w:rPr>
      </w:pPr>
    </w:p>
    <w:p>
      <w:pPr>
        <w:spacing w:after="200" w:line="276" w:lineRule="auto"/>
        <w:rPr>
          <w:rFonts w:ascii="Calibri" w:hAnsi="Calibri" w:eastAsia="Calibri" w:cs="Calibri"/>
          <w:b/>
          <w:sz w:val="20"/>
          <w:szCs w:val="20"/>
          <w:lang w:eastAsia="en-US"/>
        </w:rPr>
      </w:pPr>
      <w:r>
        <w:rPr/>
        <w:br w:type="page"/>
      </w:r>
    </w:p>
    <w:p>
      <w:pPr>
        <w:pStyle w:val="NoSpacing"/>
        <w:spacing w:line="240" w:lineRule="auto"/>
        <w:jc w:val="center"/>
        <w:rPr>
          <w:rFonts w:ascii="Calibri" w:hAnsi="Calibri" w:eastAsia="Calibri" w:cs="Calibri"/>
          <w:b/>
          <w:sz w:val="20"/>
          <w:szCs w:val="20"/>
        </w:rPr>
      </w:pPr>
      <w:r>
        <w:rPr>
          <w:rFonts w:ascii="Calibri" w:hAnsi="Calibri" w:eastAsia="Calibri" w:cs="Calibri"/>
          <w:b/>
          <w:sz w:val="20"/>
          <w:szCs w:val="20"/>
        </w:rPr>
        <w:t xml:space="preserve">The University of Cumbria’s Approach to </w:t>
      </w:r>
      <w:r>
        <w:rPr>
          <w:rFonts w:ascii="Calibri" w:hAnsi="Calibri" w:eastAsia="Calibri" w:cs="Calibri"/>
          <w:b/>
          <w:sz w:val="20"/>
          <w:szCs w:val="20"/>
        </w:rPr>
        <w:t xml:space="preserve">Academic Collaborative Provision</w:t>
      </w:r>
      <w:r>
        <w:rPr>
          <w:rFonts w:ascii="Calibri" w:hAnsi="Calibri" w:eastAsia="Calibri" w:cs="Calibri"/>
          <w:b/>
          <w:sz w:val="22"/>
          <w:szCs w:val="22"/>
        </w:rPr>
        <w:t xml:space="preserve"> </w:t>
      </w:r>
      <w:r>
        <w:rPr>
          <w:rFonts w:ascii="Calibri" w:hAnsi="Calibri" w:eastAsia="Calibri" w:cs="Calibri"/>
          <w:b/>
          <w:sz w:val="20"/>
          <w:szCs w:val="20"/>
        </w:rPr>
        <w:t xml:space="preserve">within the National Tier</w:t>
      </w:r>
    </w:p>
    <w:p>
      <w:pPr>
        <w:pStyle w:val="NoSpacing"/>
        <w:spacing w:line="240" w:lineRule="auto"/>
        <w:rPr>
          <w:rFonts w:ascii="Calibri" w:hAnsi="Calibri" w:eastAsia="Calibri" w:cs="Calibri"/>
          <w:b/>
          <w:sz w:val="20"/>
          <w:szCs w:val="20"/>
        </w:rPr>
      </w:pPr>
    </w:p>
    <w:tbl>
      <w:tblPr>
        <w:tblW w:w="11199"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
        <w:tblDescription w:val=""/>
      </w:tblPr>
      <w:tblGrid>
        <w:gridCol w:w="1419"/>
        <w:gridCol w:w="9780"/>
      </w:tblGrid>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Where is this tier?</w:t>
            </w:r>
          </w:p>
        </w:tc>
        <w:tc>
          <w:tcPr>
            <w:tcW w:type="dxa" w:w="9780"/>
            <w:tcBorders/>
            <w:shd w:fill="auto" w:color="auto" w:val="clear"/>
          </w:tcPr>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UK outside of the region (not local or regional tiers)</w:t>
            </w:r>
          </w:p>
        </w:tc>
      </w:tr>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Who is in this tier?</w:t>
            </w:r>
          </w:p>
        </w:tc>
        <w:tc>
          <w:tcPr>
            <w:tcW w:type="dxa" w:w="9780"/>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sz w:val="20"/>
                <w:szCs w:val="20"/>
              </w:rPr>
              <w:t xml:space="preserve">Further Education Colleges and other publicly funded HE providers, major employers and other relevant and suitable partners</w:t>
            </w:r>
          </w:p>
        </w:tc>
      </w:tr>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Why do w</w:t>
            </w:r>
            <w:r>
              <w:rPr>
                <w:rFonts w:ascii="Calibri" w:hAnsi="Calibri" w:eastAsia="Calibri" w:cs="Calibri"/>
                <w:b/>
                <w:sz w:val="20"/>
                <w:szCs w:val="20"/>
              </w:rPr>
              <w:t xml:space="preserve">e want to work with this tier?</w:t>
            </w:r>
          </w:p>
        </w:tc>
        <w:tc>
          <w:tcPr>
            <w:tcW w:type="dxa" w:w="9780"/>
            <w:tcBorders/>
            <w:shd w:fill="auto" w:color="auto" w:val="clear"/>
          </w:tcPr>
          <w:p>
            <w:pPr>
              <w:pStyle w:val="NoSpacing"/>
              <w:numPr>
                <w:ilvl w:val="0"/>
                <w:numId w:val="11"/>
              </w:numPr>
              <w:spacing w:line="240" w:lineRule="auto"/>
              <w:rPr>
                <w:rFonts w:ascii="Calibri" w:hAnsi="Calibri" w:eastAsia="Calibri" w:cs="Tahoma"/>
                <w:bCs/>
                <w:sz w:val="20"/>
                <w:szCs w:val="20"/>
              </w:rPr>
            </w:pPr>
            <w:r>
              <w:rPr>
                <w:rFonts w:ascii="Calibri" w:hAnsi="Calibri" w:eastAsia="Calibri" w:cs="Tahoma"/>
                <w:bCs/>
                <w:sz w:val="20"/>
                <w:szCs w:val="20"/>
              </w:rPr>
              <w:t xml:space="preserve">Widening participation, recruitment and progression opportunities</w:t>
            </w:r>
          </w:p>
          <w:p>
            <w:pPr>
              <w:pStyle w:val="NoSpacing"/>
              <w:numPr>
                <w:ilvl w:val="0"/>
                <w:numId w:val="11"/>
              </w:numPr>
              <w:spacing w:line="240" w:lineRule="auto"/>
              <w:rPr>
                <w:rFonts w:ascii="Calibri" w:hAnsi="Calibri" w:eastAsia="Calibri" w:cs="Tahoma"/>
                <w:bCs/>
                <w:sz w:val="20"/>
                <w:szCs w:val="20"/>
              </w:rPr>
            </w:pPr>
            <w:r>
              <w:rPr>
                <w:rFonts w:ascii="Calibri" w:hAnsi="Calibri" w:eastAsia="Calibri" w:cs="Tahoma"/>
                <w:bCs/>
                <w:sz w:val="20"/>
                <w:szCs w:val="20"/>
              </w:rPr>
              <w:t xml:space="preserve">Developing national activity and reputation in niche and specialist areas</w:t>
            </w:r>
          </w:p>
          <w:p>
            <w:pPr>
              <w:pStyle w:val="NoSpacing"/>
              <w:numPr>
                <w:ilvl w:val="0"/>
                <w:numId w:val="11"/>
              </w:numPr>
              <w:spacing w:line="240" w:lineRule="auto"/>
              <w:rPr>
                <w:rFonts w:ascii="Calibri" w:hAnsi="Calibri" w:eastAsia="Calibri" w:cs="Tahoma"/>
                <w:bCs/>
                <w:sz w:val="20"/>
                <w:szCs w:val="20"/>
              </w:rPr>
            </w:pPr>
            <w:r>
              <w:rPr>
                <w:rFonts w:ascii="Calibri" w:hAnsi="Calibri" w:eastAsia="Calibri" w:cs="Tahoma"/>
                <w:bCs/>
                <w:sz w:val="20"/>
                <w:szCs w:val="20"/>
              </w:rPr>
              <w:t xml:space="preserve">Developing sustainable income streams </w:t>
            </w:r>
          </w:p>
        </w:tc>
      </w:tr>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What will we do with this tier?</w:t>
            </w:r>
          </w:p>
          <w:p>
            <w:pPr>
              <w:pStyle w:val="NoSpacing"/>
              <w:spacing w:line="240" w:lineRule="auto"/>
              <w:rPr>
                <w:rFonts w:ascii="Calibri" w:hAnsi="Calibri" w:eastAsia="Calibri" w:cs="Calibri"/>
                <w:b/>
                <w:sz w:val="20"/>
                <w:szCs w:val="20"/>
              </w:rPr>
            </w:pPr>
          </w:p>
        </w:tc>
        <w:tc>
          <w:tcPr>
            <w:tcW w:type="dxa" w:w="9780"/>
            <w:tcBorders/>
            <w:shd w:fill="auto" w:color="auto" w:val="clear"/>
          </w:tcPr>
          <w:p>
            <w:pPr>
              <w:pStyle w:val="NoSpacing"/>
              <w:spacing w:line="240" w:lineRule="auto"/>
              <w:rPr>
                <w:rFonts w:ascii="Calibri" w:hAnsi="Calibri" w:eastAsia="Calibri" w:cs="Tahoma"/>
                <w:bCs/>
                <w:sz w:val="20"/>
                <w:szCs w:val="20"/>
              </w:rPr>
            </w:pPr>
            <w:r>
              <w:rPr>
                <w:rFonts w:ascii="Calibri" w:hAnsi="Calibri" w:eastAsia="Calibri" w:cs="Tahoma"/>
                <w:bCs/>
                <w:sz w:val="20"/>
                <w:szCs w:val="20"/>
              </w:rPr>
              <w:t xml:space="preserve">We will prioritise:</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Guaranteed Progression or Articulation</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Franchise of partial awards with UoC delivery of  final level(s) to FECs and </w:t>
            </w:r>
            <w:r>
              <w:rPr>
                <w:rFonts w:ascii="Calibri" w:hAnsi="Calibri" w:eastAsia="Calibri" w:cs="Calibri"/>
                <w:sz w:val="20"/>
                <w:szCs w:val="20"/>
              </w:rPr>
              <w:t xml:space="preserve">other publicly funded HE providers</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Calibri"/>
                <w:sz w:val="20"/>
                <w:szCs w:val="20"/>
              </w:rPr>
              <w:t xml:space="preserve">Off Site delivery</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Shared Delivery of UoC Awards </w:t>
            </w:r>
          </w:p>
          <w:p>
            <w:pPr>
              <w:pStyle w:val="NoSpacing"/>
              <w:spacing w:line="240" w:lineRule="auto"/>
              <w:rPr>
                <w:rFonts w:ascii="Calibri" w:hAnsi="Calibri" w:eastAsia="Calibri" w:cs="Calibri"/>
                <w:b/>
                <w:sz w:val="20"/>
                <w:szCs w:val="20"/>
              </w:rPr>
            </w:pPr>
            <w:r>
              <w:rPr>
                <w:rFonts w:ascii="Calibri" w:hAnsi="Calibri" w:eastAsia="Calibri" w:cs="Tahoma"/>
                <w:bCs/>
                <w:sz w:val="20"/>
                <w:szCs w:val="20"/>
              </w:rPr>
              <w:t xml:space="preserve">and may consider other ACP relationships</w:t>
            </w:r>
          </w:p>
        </w:tc>
      </w:tr>
      <w:tr>
        <w:trPr>
          <w:jc w:val="left"/>
        </w:trPr>
        <w:tc>
          <w:tcPr>
            <w:tcW w:type="dxa" w:w="1419"/>
            <w:tcBorders/>
            <w:shd w:fill="auto" w:color="auto" w:val="clear"/>
          </w:tcPr>
          <w:p>
            <w:pPr>
              <w:pStyle w:val="Default"/>
              <w:spacing w:line="240" w:lineRule="auto"/>
              <w:rPr>
                <w:color w:val="auto"/>
                <w:sz w:val="20"/>
                <w:szCs w:val="20"/>
              </w:rPr>
            </w:pPr>
            <w:r>
              <w:rPr>
                <w:b/>
                <w:bCs/>
                <w:iCs/>
                <w:color w:val="auto"/>
                <w:sz w:val="20"/>
                <w:szCs w:val="20"/>
              </w:rPr>
              <w:t xml:space="preserve">Where we are now: </w:t>
            </w:r>
          </w:p>
        </w:tc>
        <w:tc>
          <w:tcPr>
            <w:tcW w:type="dxa" w:w="9780"/>
            <w:tcBorders/>
          </w:tcPr>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Currently we have five partners in this tier with 220 students on four different programmes.</w:t>
            </w:r>
          </w:p>
        </w:tc>
      </w:tr>
      <w:tr>
        <w:trPr>
          <w:jc w:val="left"/>
        </w:trPr>
        <w:tc>
          <w:tcPr>
            <w:tcW w:type="dxa" w:w="1419"/>
            <w:tcBorders/>
            <w:shd w:fill="auto" w:color="auto" w:val="clear"/>
          </w:tcPr>
          <w:p>
            <w:pPr>
              <w:pStyle w:val="Default"/>
              <w:spacing w:line="240" w:lineRule="auto"/>
              <w:rPr>
                <w:color w:val="auto"/>
                <w:sz w:val="20"/>
                <w:szCs w:val="20"/>
              </w:rPr>
            </w:pPr>
            <w:r>
              <w:rPr>
                <w:b/>
                <w:bCs/>
                <w:iCs/>
                <w:color w:val="auto"/>
                <w:sz w:val="20"/>
                <w:szCs w:val="20"/>
              </w:rPr>
              <w:t xml:space="preserve">Where we want be: </w:t>
            </w:r>
          </w:p>
          <w:p>
            <w:pPr>
              <w:pStyle w:val="NoSpacing"/>
              <w:spacing w:line="240" w:lineRule="auto"/>
              <w:rPr>
                <w:rFonts w:ascii="Calibri" w:hAnsi="Calibri" w:eastAsia="Calibri" w:cs="Calibri"/>
                <w:b/>
                <w:sz w:val="20"/>
                <w:szCs w:val="20"/>
              </w:rPr>
            </w:pPr>
          </w:p>
        </w:tc>
        <w:tc>
          <w:tcPr>
            <w:tcW w:type="dxa" w:w="9780"/>
            <w:tcBorders/>
          </w:tcPr>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We want to actively develop niche areas of provision in order to raise the profile of the UoC and to support the mission of the University in relevant areas. We want to develop strong, effective and mutually beneficial relations</w:t>
            </w:r>
            <w:r>
              <w:rPr>
                <w:rFonts w:ascii="Calibri" w:hAnsi="Calibri" w:eastAsia="Calibri" w:cs="Calibri"/>
                <w:sz w:val="20"/>
                <w:szCs w:val="20"/>
              </w:rPr>
              <w:t xml:space="preserve">hips with appropriate partners </w:t>
            </w:r>
          </w:p>
        </w:tc>
      </w:tr>
      <w:tr>
        <w:trPr>
          <w:jc w:val="left"/>
        </w:trPr>
        <w:tc>
          <w:tcPr>
            <w:tcW w:type="dxa" w:w="1419"/>
            <w:tcBorders/>
            <w:shd w:fill="auto" w:color="auto" w:val="clear"/>
          </w:tcPr>
          <w:p>
            <w:pPr>
              <w:pStyle w:val="Default"/>
              <w:spacing w:line="240" w:lineRule="auto"/>
              <w:rPr>
                <w:color w:val="auto"/>
                <w:sz w:val="20"/>
                <w:szCs w:val="20"/>
              </w:rPr>
            </w:pPr>
            <w:r>
              <w:rPr>
                <w:b/>
                <w:bCs/>
                <w:iCs/>
                <w:color w:val="auto"/>
                <w:sz w:val="20"/>
                <w:szCs w:val="20"/>
              </w:rPr>
              <w:t xml:space="preserve">How will we get there: </w:t>
            </w:r>
          </w:p>
          <w:p>
            <w:pPr>
              <w:pStyle w:val="NoSpacing"/>
              <w:spacing w:line="240" w:lineRule="auto"/>
              <w:rPr>
                <w:rFonts w:ascii="Calibri" w:hAnsi="Calibri" w:eastAsia="Calibri" w:cs="Calibri"/>
                <w:b/>
                <w:sz w:val="20"/>
                <w:szCs w:val="20"/>
              </w:rPr>
            </w:pPr>
          </w:p>
        </w:tc>
        <w:tc>
          <w:tcPr>
            <w:tcW w:type="dxa" w:w="9780"/>
            <w:tcBorders/>
          </w:tcPr>
          <w:p>
            <w:pPr>
              <w:pStyle w:val="NoSpacing"/>
              <w:spacing w:line="240" w:lineRule="auto"/>
              <w:rPr>
                <w:rFonts w:ascii="Calibri" w:hAnsi="Calibri" w:eastAsia="Calibri" w:cs="Calibri"/>
                <w:b/>
                <w:sz w:val="20"/>
                <w:szCs w:val="20"/>
              </w:rPr>
            </w:pPr>
            <w:r>
              <w:rPr>
                <w:rFonts w:ascii="Calibri" w:hAnsi="Calibri" w:eastAsia="Calibri" w:cs="Calibri"/>
                <w:sz w:val="20"/>
                <w:szCs w:val="20"/>
              </w:rPr>
              <w:t xml:space="preserve">We will actively pursue opportunities for activities which have a national coverage for which UoC has specialism. Our priority alongside this will be the development of progression and articulation agreements with the longer term aim of partial (or full) franchise or validation.</w:t>
            </w:r>
          </w:p>
        </w:tc>
      </w:tr>
    </w:tbl>
    <w:p>
      <w:pPr>
        <w:pStyle w:val="NoSpacing"/>
        <w:spacing w:line="240" w:lineRule="auto"/>
        <w:rPr>
          <w:rFonts w:ascii="Calibri" w:hAnsi="Calibri" w:eastAsia="Calibri" w:cs="Calibri"/>
          <w:sz w:val="20"/>
          <w:szCs w:val="20"/>
        </w:rPr>
      </w:pPr>
    </w:p>
    <w:tbl>
      <w:tblPr>
        <w:tblW w:w="11199"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7656"/>
        <w:gridCol w:w="1181"/>
        <w:gridCol w:w="1181"/>
        <w:gridCol w:w="1181"/>
      </w:tblGrid>
      <w:tr>
        <w:trPr>
          <w:trHeight w:val="266" w:hRule="atLeast"/>
          <w:jc w:val="left"/>
        </w:trPr>
        <w:tc>
          <w:tcPr>
            <w:tcW w:type="dxa" w:w="7656"/>
            <w:tcBorders/>
          </w:tcPr>
          <w:p>
            <w:pPr>
              <w:pStyle w:val="Default"/>
              <w:spacing w:line="240" w:lineRule="auto"/>
              <w:rPr>
                <w:b/>
                <w:color w:val="auto"/>
                <w:sz w:val="20"/>
                <w:szCs w:val="20"/>
              </w:rPr>
            </w:pPr>
            <w:r>
              <w:rPr>
                <w:b/>
                <w:color w:val="auto"/>
                <w:sz w:val="20"/>
                <w:szCs w:val="20"/>
              </w:rPr>
              <w:t xml:space="preserve">Performance Indicators and Milestones (National tier)</w:t>
            </w:r>
          </w:p>
          <w:p>
            <w:pPr>
              <w:pStyle w:val="Default"/>
              <w:spacing w:line="240" w:lineRule="auto"/>
              <w:rPr>
                <w:sz w:val="20"/>
                <w:szCs w:val="20"/>
              </w:rPr>
            </w:pPr>
          </w:p>
        </w:tc>
        <w:tc>
          <w:tcPr>
            <w:tcW w:type="dxa" w:w="1181"/>
            <w:tcBorders/>
          </w:tcPr>
          <w:p>
            <w:pPr>
              <w:pStyle w:val="Default"/>
              <w:spacing w:line="240" w:lineRule="auto"/>
              <w:jc w:val="center"/>
              <w:rPr>
                <w:sz w:val="20"/>
                <w:szCs w:val="20"/>
              </w:rPr>
            </w:pPr>
            <w:r>
              <w:rPr>
                <w:sz w:val="20"/>
                <w:szCs w:val="20"/>
              </w:rPr>
              <w:t xml:space="preserve">Baseline</w:t>
            </w:r>
          </w:p>
          <w:p>
            <w:pPr>
              <w:pStyle w:val="Default"/>
              <w:spacing w:line="240" w:lineRule="auto"/>
              <w:jc w:val="center"/>
              <w:rPr>
                <w:sz w:val="20"/>
                <w:szCs w:val="20"/>
              </w:rPr>
            </w:pPr>
            <w:r>
              <w:rPr>
                <w:sz w:val="20"/>
                <w:szCs w:val="20"/>
              </w:rPr>
              <w:t xml:space="preserve">2013</w:t>
            </w:r>
          </w:p>
        </w:tc>
        <w:tc>
          <w:tcPr>
            <w:tcW w:type="dxa" w:w="1181"/>
            <w:tcBorders/>
          </w:tcPr>
          <w:p>
            <w:pPr>
              <w:pStyle w:val="Default"/>
              <w:spacing w:line="240" w:lineRule="auto"/>
              <w:jc w:val="center"/>
              <w:rPr>
                <w:sz w:val="20"/>
                <w:szCs w:val="20"/>
              </w:rPr>
            </w:pPr>
            <w:r>
              <w:rPr>
                <w:sz w:val="20"/>
                <w:szCs w:val="20"/>
              </w:rPr>
              <w:t xml:space="preserve">Milestone</w:t>
            </w:r>
          </w:p>
          <w:p>
            <w:pPr>
              <w:pStyle w:val="Default"/>
              <w:spacing w:line="240" w:lineRule="auto"/>
              <w:jc w:val="center"/>
              <w:rPr>
                <w:sz w:val="20"/>
                <w:szCs w:val="20"/>
              </w:rPr>
            </w:pPr>
            <w:r>
              <w:rPr>
                <w:sz w:val="20"/>
                <w:szCs w:val="20"/>
              </w:rPr>
              <w:t xml:space="preserve">2016</w:t>
            </w:r>
          </w:p>
        </w:tc>
        <w:tc>
          <w:tcPr>
            <w:tcW w:type="dxa" w:w="1181"/>
            <w:tcBorders/>
          </w:tcPr>
          <w:p>
            <w:pPr>
              <w:pStyle w:val="Default"/>
              <w:spacing w:line="240" w:lineRule="auto"/>
              <w:jc w:val="center"/>
              <w:rPr>
                <w:sz w:val="20"/>
                <w:szCs w:val="20"/>
              </w:rPr>
            </w:pPr>
            <w:r>
              <w:rPr>
                <w:sz w:val="20"/>
                <w:szCs w:val="20"/>
              </w:rPr>
              <w:t xml:space="preserve">Target</w:t>
            </w:r>
          </w:p>
          <w:p>
            <w:pPr>
              <w:pStyle w:val="Default"/>
              <w:spacing w:line="240" w:lineRule="auto"/>
              <w:jc w:val="center"/>
              <w:rPr>
                <w:sz w:val="20"/>
                <w:szCs w:val="20"/>
              </w:rPr>
            </w:pPr>
            <w:r>
              <w:rPr>
                <w:sz w:val="20"/>
                <w:szCs w:val="20"/>
              </w:rPr>
              <w:t xml:space="preserve">2018</w:t>
            </w:r>
          </w:p>
        </w:tc>
      </w:tr>
      <w:tr>
        <w:trPr>
          <w:trHeight w:val="266" w:hRule="atLeast"/>
          <w:jc w:val="left"/>
        </w:trPr>
        <w:tc>
          <w:tcPr>
            <w:tcW w:type="dxa" w:w="7656"/>
            <w:tcBorders/>
          </w:tcPr>
          <w:p>
            <w:pPr>
              <w:pStyle w:val="Default"/>
              <w:spacing w:line="240" w:lineRule="auto"/>
              <w:rPr>
                <w:sz w:val="20"/>
                <w:szCs w:val="20"/>
              </w:rPr>
            </w:pPr>
            <w:r>
              <w:rPr>
                <w:sz w:val="20"/>
                <w:szCs w:val="20"/>
              </w:rPr>
              <w:t xml:space="preserve">Number of national tier partners with formal collaborative agreements with UoC</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6</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7</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national tier partners with guaranteed progression/articulation agreements </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10</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national tier partners with franchise/ validation arrangements leading to UoC delivery of final level(s) of award </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6</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national tier partners with franchise/ validation arrangements not leading to UoC delivery of final level(s) of award </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r>
      <w:tr>
        <w:trPr>
          <w:trHeight w:val="111" w:hRule="atLeast"/>
          <w:jc w:val="left"/>
        </w:trPr>
        <w:tc>
          <w:tcPr>
            <w:tcW w:type="dxa" w:w="7656"/>
            <w:tcBorders/>
          </w:tcPr>
          <w:p>
            <w:pPr>
              <w:pStyle w:val="NoSpacing"/>
              <w:spacing w:line="240" w:lineRule="auto"/>
              <w:rPr>
                <w:rFonts w:ascii="Calibri" w:hAnsi="Calibri" w:eastAsia="Calibri" w:cs="Calibri"/>
                <w:sz w:val="20"/>
                <w:szCs w:val="20"/>
              </w:rPr>
            </w:pPr>
            <w:r>
              <w:rPr>
                <w:rFonts w:ascii="Calibri" w:hAnsi="Calibri" w:eastAsia="Calibri" w:cs="Tahoma"/>
                <w:bCs/>
                <w:sz w:val="20"/>
                <w:szCs w:val="20"/>
              </w:rPr>
              <w:t xml:space="preserve">Number of UoC delivered Off Site programmes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5</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10</w:t>
            </w:r>
          </w:p>
        </w:tc>
      </w:tr>
      <w:tr>
        <w:trPr>
          <w:trHeight w:val="111" w:hRule="atLeast"/>
          <w:jc w:val="left"/>
        </w:trPr>
        <w:tc>
          <w:tcPr>
            <w:tcW w:type="dxa" w:w="7656"/>
            <w:tcBorders/>
          </w:tcPr>
          <w:p>
            <w:pPr>
              <w:pStyle w:val="NoSpacing"/>
              <w:spacing w:line="240" w:lineRule="auto"/>
              <w:rPr>
                <w:rFonts w:ascii="Calibri" w:hAnsi="Calibri" w:eastAsia="Calibri" w:cs="Tahoma"/>
                <w:bCs/>
                <w:sz w:val="20"/>
                <w:szCs w:val="20"/>
              </w:rPr>
            </w:pPr>
            <w:r>
              <w:rPr>
                <w:rFonts w:ascii="Calibri" w:hAnsi="Calibri" w:eastAsia="Calibri" w:cs="Tahoma"/>
                <w:bCs/>
                <w:sz w:val="20"/>
                <w:szCs w:val="20"/>
              </w:rPr>
              <w:t xml:space="preserve">Number of national tier Shared Delivery partnerships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5</w:t>
            </w:r>
          </w:p>
        </w:tc>
      </w:tr>
      <w:tr>
        <w:trPr>
          <w:trHeight w:val="111" w:hRule="atLeast"/>
          <w:jc w:val="left"/>
        </w:trPr>
        <w:tc>
          <w:tcPr>
            <w:tcW w:type="dxa" w:w="7656"/>
            <w:tcBorders/>
          </w:tcPr>
          <w:p>
            <w:pPr>
              <w:pStyle w:val="Default"/>
              <w:spacing w:line="240" w:lineRule="auto"/>
              <w:rPr>
                <w:sz w:val="20"/>
                <w:szCs w:val="20"/>
              </w:rPr>
            </w:pPr>
            <w:r>
              <w:rPr>
                <w:sz w:val="20"/>
                <w:szCs w:val="20"/>
              </w:rPr>
              <w:t xml:space="preserve">Number of national tier partners delivering a single UoC Award</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national tier partners delivering multiple UoC Awards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5</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School Direct Partners in the national tier</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10</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registered on UoC awards in national tier School Direct partnerships</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375</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325</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registered on UoC awards in national tier partnerships (Non SD)</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220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250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325</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from national tier partnerships who progress or articulate to an award delivered by the University at level 4</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15</w:t>
            </w:r>
          </w:p>
        </w:tc>
      </w:tr>
      <w:tr>
        <w:trPr>
          <w:trHeight w:val="265" w:hRule="atLeast"/>
          <w:jc w:val="left"/>
        </w:trPr>
        <w:tc>
          <w:tcPr>
            <w:tcW w:type="dxa" w:w="7656"/>
            <w:tcBorders/>
          </w:tcPr>
          <w:p>
            <w:pPr>
              <w:pStyle w:val="Default"/>
              <w:spacing w:line="240" w:lineRule="auto"/>
              <w:rPr>
                <w:sz w:val="20"/>
                <w:szCs w:val="20"/>
              </w:rPr>
            </w:pPr>
            <w:r>
              <w:rPr>
                <w:sz w:val="20"/>
                <w:szCs w:val="20"/>
              </w:rPr>
              <w:t xml:space="preserve">Number of students from national tier partnerships who progress or articulate to an award delivered by the University at level 5 or 6</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20</w:t>
            </w:r>
          </w:p>
        </w:tc>
        <w:tc>
          <w:tcPr>
            <w:tcW w:type="dxa" w:w="1181"/>
            <w:tcBorders/>
          </w:tcPr>
          <w:p>
            <w:pPr>
              <w:spacing w:line="240" w:lineRule="auto"/>
              <w:jc w:val="center"/>
              <w:rPr>
                <w:rFonts w:ascii="Calibri" w:hAnsi="Calibri" w:eastAsia="Calibri" w:cs="Calibri"/>
                <w:sz w:val="20"/>
                <w:szCs w:val="20"/>
              </w:rPr>
            </w:pPr>
            <w:r>
              <w:rPr>
                <w:rFonts w:ascii="Calibri" w:hAnsi="Calibri" w:eastAsia="Calibri" w:cs="Calibri"/>
                <w:sz w:val="20"/>
                <w:szCs w:val="20"/>
              </w:rPr>
              <w:t xml:space="preserve">30</w:t>
            </w:r>
          </w:p>
        </w:tc>
      </w:tr>
    </w:tbl>
    <w:p>
      <w:pPr>
        <w:pStyle w:val="NoSpacing"/>
        <w:spacing w:line="240" w:lineRule="auto"/>
        <w:rPr>
          <w:rFonts w:ascii="Calibri" w:hAnsi="Calibri" w:eastAsia="Calibri" w:cs="Calibri"/>
          <w:b/>
          <w:sz w:val="20"/>
          <w:szCs w:val="20"/>
        </w:rPr>
      </w:pPr>
    </w:p>
    <w:p>
      <w:pPr>
        <w:pStyle w:val="NoSpacing"/>
        <w:spacing w:line="240" w:lineRule="auto"/>
        <w:rPr>
          <w:rFonts w:ascii="Calibri" w:hAnsi="Calibri" w:eastAsia="Calibri" w:cs="Calibri"/>
          <w:b/>
          <w:sz w:val="20"/>
          <w:szCs w:val="20"/>
        </w:rPr>
      </w:pPr>
    </w:p>
    <w:p>
      <w:pPr>
        <w:pStyle w:val="NoSpacing"/>
        <w:spacing w:line="240" w:lineRule="auto"/>
        <w:rPr>
          <w:rFonts w:ascii="Calibri" w:hAnsi="Calibri" w:eastAsia="Calibri" w:cs="Calibri"/>
          <w:b/>
          <w:sz w:val="20"/>
          <w:szCs w:val="20"/>
        </w:rPr>
      </w:pPr>
    </w:p>
    <w:p>
      <w:pPr>
        <w:pStyle w:val="NoSpacing"/>
        <w:spacing w:line="240" w:lineRule="auto"/>
        <w:rPr>
          <w:rFonts w:ascii="Calibri" w:hAnsi="Calibri" w:eastAsia="Calibri" w:cs="Calibri"/>
          <w:b/>
          <w:sz w:val="20"/>
          <w:szCs w:val="20"/>
        </w:rPr>
      </w:pPr>
    </w:p>
    <w:p>
      <w:pPr>
        <w:pStyle w:val="NoSpacing"/>
        <w:spacing w:line="240" w:lineRule="auto"/>
        <w:rPr>
          <w:rFonts w:ascii="Calibri" w:hAnsi="Calibri" w:eastAsia="Calibri" w:cs="Calibri"/>
          <w:b/>
          <w:sz w:val="20"/>
          <w:szCs w:val="20"/>
        </w:rPr>
      </w:pPr>
    </w:p>
    <w:p>
      <w:pPr>
        <w:pStyle w:val="NoSpacing"/>
        <w:spacing w:line="240" w:lineRule="auto"/>
        <w:rPr>
          <w:rFonts w:ascii="Calibri" w:hAnsi="Calibri" w:eastAsia="Calibri" w:cs="Calibri"/>
          <w:b/>
          <w:sz w:val="20"/>
          <w:szCs w:val="20"/>
        </w:rPr>
      </w:pPr>
    </w:p>
    <w:p>
      <w:pPr>
        <w:pStyle w:val="NoSpacing"/>
        <w:spacing w:line="240" w:lineRule="auto"/>
        <w:jc w:val="center"/>
        <w:rPr>
          <w:rFonts w:ascii="Calibri" w:hAnsi="Calibri" w:eastAsia="Calibri" w:cs="Calibri"/>
          <w:b/>
          <w:sz w:val="20"/>
          <w:szCs w:val="20"/>
        </w:rPr>
      </w:pPr>
      <w:r>
        <w:rPr/>
        <w:br w:type="page"/>
      </w:r>
      <w:r>
        <w:rPr>
          <w:rFonts w:ascii="Calibri" w:hAnsi="Calibri" w:eastAsia="Calibri" w:cs="Calibri"/>
          <w:b/>
          <w:sz w:val="20"/>
          <w:szCs w:val="20"/>
        </w:rPr>
        <w:t xml:space="preserve">The University of Cumbria’s Approach to </w:t>
      </w:r>
      <w:r>
        <w:rPr>
          <w:rFonts w:ascii="Calibri" w:hAnsi="Calibri" w:eastAsia="Calibri" w:cs="Calibri"/>
          <w:b/>
          <w:sz w:val="20"/>
          <w:szCs w:val="20"/>
        </w:rPr>
        <w:t xml:space="preserve">Academic Collaborative Provision</w:t>
      </w:r>
      <w:r>
        <w:rPr>
          <w:rFonts w:ascii="Calibri" w:hAnsi="Calibri" w:eastAsia="Calibri" w:cs="Calibri"/>
          <w:b/>
          <w:sz w:val="22"/>
          <w:szCs w:val="22"/>
        </w:rPr>
        <w:t xml:space="preserve"> </w:t>
      </w:r>
      <w:r>
        <w:rPr>
          <w:rFonts w:ascii="Calibri" w:hAnsi="Calibri" w:eastAsia="Calibri" w:cs="Calibri"/>
          <w:b/>
          <w:sz w:val="20"/>
          <w:szCs w:val="20"/>
        </w:rPr>
        <w:t xml:space="preserve">within the International Tier</w:t>
      </w:r>
    </w:p>
    <w:p>
      <w:pPr>
        <w:pStyle w:val="NoSpacing"/>
        <w:spacing w:line="240" w:lineRule="auto"/>
        <w:rPr>
          <w:rFonts w:ascii="Calibri" w:hAnsi="Calibri" w:eastAsia="Calibri" w:cs="Calibri"/>
          <w:b/>
          <w:sz w:val="20"/>
          <w:szCs w:val="20"/>
        </w:rPr>
      </w:pPr>
    </w:p>
    <w:tbl>
      <w:tblPr>
        <w:tblW w:w="11199"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
        <w:tblDescription w:val=""/>
      </w:tblPr>
      <w:tblGrid>
        <w:gridCol w:w="1419"/>
        <w:gridCol w:w="9780"/>
      </w:tblGrid>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Where is this tier?</w:t>
            </w:r>
          </w:p>
        </w:tc>
        <w:tc>
          <w:tcPr>
            <w:tcW w:type="dxa" w:w="9780"/>
            <w:tcBorders/>
            <w:shd w:fill="auto" w:color="auto" w:val="clear"/>
          </w:tcPr>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EU and EEA countries with a medium term focus on priority regions as identified through the IDO</w:t>
            </w:r>
            <w:r>
              <w:rPr>
                <w:rFonts w:ascii="Calibri" w:hAnsi="Calibri" w:eastAsia="Calibri" w:cs="Calibri"/>
                <w:sz w:val="20"/>
                <w:szCs w:val="20"/>
              </w:rPr>
              <w:t xml:space="preserve">. </w:t>
            </w:r>
            <w:r>
              <w:rPr>
                <w:rFonts w:ascii="Calibri" w:hAnsi="Calibri" w:eastAsia="Calibri" w:cs="Calibri"/>
                <w:sz w:val="20"/>
                <w:szCs w:val="20"/>
              </w:rPr>
              <w:t xml:space="preserve">Worldwide outside Europe with a particular focus on China, Malaysia and Pakistan, with emerging developments in Russia and the USA</w:t>
            </w:r>
            <w:r>
              <w:rPr>
                <w:rFonts w:ascii="Calibri" w:hAnsi="Calibri" w:eastAsia="Calibri" w:cs="Calibri"/>
                <w:sz w:val="20"/>
                <w:szCs w:val="20"/>
              </w:rPr>
              <w:t xml:space="preserve"> </w:t>
            </w:r>
          </w:p>
        </w:tc>
      </w:tr>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Who is in this tier?</w:t>
            </w:r>
          </w:p>
        </w:tc>
        <w:tc>
          <w:tcPr>
            <w:tcW w:type="dxa" w:w="9780"/>
            <w:tcBorders/>
            <w:shd w:fill="auto" w:color="auto" w:val="clear"/>
          </w:tcPr>
          <w:p>
            <w:pPr>
              <w:pStyle w:val="NoSpacing"/>
              <w:spacing w:line="240" w:lineRule="auto"/>
              <w:rPr>
                <w:rFonts w:ascii="Calibri" w:hAnsi="Calibri" w:eastAsia="Calibri" w:cs="Calibri"/>
                <w:sz w:val="20"/>
                <w:szCs w:val="20"/>
              </w:rPr>
            </w:pPr>
            <w:r>
              <w:rPr>
                <w:rFonts w:ascii="Calibri" w:hAnsi="Calibri" w:eastAsia="Calibri" w:cs="Calibri"/>
                <w:sz w:val="20"/>
                <w:szCs w:val="20"/>
              </w:rPr>
              <w:t xml:space="preserve">P</w:t>
            </w:r>
            <w:r>
              <w:rPr>
                <w:rFonts w:ascii="Calibri" w:hAnsi="Calibri" w:eastAsia="Calibri" w:cs="Calibri"/>
                <w:sz w:val="20"/>
                <w:szCs w:val="20"/>
              </w:rPr>
              <w:t xml:space="preserve">rimarily P</w:t>
            </w:r>
            <w:r>
              <w:rPr>
                <w:rFonts w:ascii="Calibri" w:hAnsi="Calibri" w:eastAsia="Calibri" w:cs="Calibri"/>
                <w:sz w:val="20"/>
                <w:szCs w:val="20"/>
              </w:rPr>
              <w:t xml:space="preserve">ublic and Private Colleges and other HEIs</w:t>
            </w:r>
          </w:p>
        </w:tc>
      </w:tr>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Why do we want to work with this tier?</w:t>
            </w:r>
          </w:p>
          <w:p>
            <w:pPr>
              <w:pStyle w:val="NoSpacing"/>
              <w:spacing w:line="240" w:lineRule="auto"/>
              <w:rPr>
                <w:rFonts w:ascii="Calibri" w:hAnsi="Calibri" w:eastAsia="Calibri" w:cs="Calibri"/>
                <w:b/>
                <w:sz w:val="20"/>
                <w:szCs w:val="20"/>
              </w:rPr>
            </w:pPr>
          </w:p>
        </w:tc>
        <w:tc>
          <w:tcPr>
            <w:tcW w:type="dxa" w:w="9780"/>
            <w:tcBorders/>
            <w:shd w:fill="auto" w:color="auto" w:val="clear"/>
          </w:tcPr>
          <w:p>
            <w:pPr>
              <w:pStyle w:val="NoSpacing"/>
              <w:numPr>
                <w:ilvl w:val="0"/>
                <w:numId w:val="8"/>
              </w:numPr>
              <w:spacing w:line="240" w:lineRule="auto"/>
              <w:rPr>
                <w:rFonts w:ascii="Calibri" w:hAnsi="Calibri" w:eastAsia="Calibri" w:cs="Calibri"/>
                <w:sz w:val="20"/>
                <w:szCs w:val="20"/>
              </w:rPr>
            </w:pPr>
            <w:r>
              <w:rPr>
                <w:rFonts w:ascii="Calibri" w:hAnsi="Calibri" w:eastAsia="Calibri" w:cs="Calibri"/>
                <w:sz w:val="20"/>
                <w:szCs w:val="20"/>
              </w:rPr>
              <w:t xml:space="preserve">Internationalisation</w:t>
            </w:r>
          </w:p>
          <w:p>
            <w:pPr>
              <w:pStyle w:val="NoSpacing"/>
              <w:numPr>
                <w:ilvl w:val="0"/>
                <w:numId w:val="8"/>
              </w:numPr>
              <w:spacing w:line="240" w:lineRule="auto"/>
              <w:rPr>
                <w:rFonts w:ascii="Calibri" w:hAnsi="Calibri" w:eastAsia="Calibri" w:cs="Calibri"/>
                <w:sz w:val="20"/>
                <w:szCs w:val="20"/>
              </w:rPr>
            </w:pPr>
            <w:r>
              <w:rPr>
                <w:rFonts w:ascii="Calibri" w:hAnsi="Calibri" w:eastAsia="Calibri" w:cs="Calibri"/>
                <w:sz w:val="20"/>
                <w:szCs w:val="20"/>
              </w:rPr>
              <w:t xml:space="preserve">Recruitment</w:t>
            </w:r>
          </w:p>
          <w:p>
            <w:pPr>
              <w:pStyle w:val="NoSpacing"/>
              <w:numPr>
                <w:ilvl w:val="0"/>
                <w:numId w:val="8"/>
              </w:numPr>
              <w:spacing w:line="240" w:lineRule="auto"/>
              <w:rPr>
                <w:rFonts w:ascii="Calibri" w:hAnsi="Calibri" w:eastAsia="Calibri" w:cs="Tahoma"/>
                <w:bCs/>
                <w:sz w:val="20"/>
                <w:szCs w:val="20"/>
              </w:rPr>
            </w:pPr>
            <w:r>
              <w:rPr>
                <w:rFonts w:ascii="Calibri" w:hAnsi="Calibri" w:eastAsia="Calibri" w:cs="Tahoma"/>
                <w:bCs/>
                <w:sz w:val="20"/>
                <w:szCs w:val="20"/>
              </w:rPr>
              <w:t xml:space="preserve">Developing </w:t>
            </w:r>
            <w:r>
              <w:rPr>
                <w:rFonts w:ascii="Calibri" w:hAnsi="Calibri" w:eastAsia="Calibri" w:cs="Tahoma"/>
                <w:bCs/>
                <w:sz w:val="20"/>
                <w:szCs w:val="20"/>
              </w:rPr>
              <w:t xml:space="preserve">international </w:t>
            </w:r>
            <w:r>
              <w:rPr>
                <w:rFonts w:ascii="Calibri" w:hAnsi="Calibri" w:eastAsia="Calibri" w:cs="Tahoma"/>
                <w:bCs/>
                <w:sz w:val="20"/>
                <w:szCs w:val="20"/>
              </w:rPr>
              <w:t xml:space="preserve">activity and reputation in niche and specialist areas</w:t>
            </w:r>
          </w:p>
          <w:p>
            <w:pPr>
              <w:pStyle w:val="NoSpacing"/>
              <w:numPr>
                <w:ilvl w:val="0"/>
                <w:numId w:val="8"/>
              </w:numPr>
              <w:spacing w:line="240" w:lineRule="auto"/>
              <w:rPr>
                <w:rFonts w:ascii="Calibri" w:hAnsi="Calibri" w:eastAsia="Calibri" w:cs="Tahoma"/>
                <w:bCs/>
                <w:sz w:val="20"/>
                <w:szCs w:val="20"/>
              </w:rPr>
            </w:pPr>
            <w:r>
              <w:rPr>
                <w:rFonts w:ascii="Calibri" w:hAnsi="Calibri" w:eastAsia="Calibri" w:cs="Tahoma"/>
                <w:bCs/>
                <w:sz w:val="20"/>
                <w:szCs w:val="20"/>
              </w:rPr>
              <w:t xml:space="preserve">Developing sustainable income streams </w:t>
            </w:r>
          </w:p>
        </w:tc>
      </w:tr>
      <w:tr>
        <w:trPr>
          <w:jc w:val="left"/>
        </w:trPr>
        <w:tc>
          <w:tcPr>
            <w:tcW w:type="dxa" w:w="1419"/>
            <w:tcBorders/>
            <w:shd w:fill="auto" w:color="auto" w:val="clear"/>
          </w:tcPr>
          <w:p>
            <w:pPr>
              <w:pStyle w:val="NoSpacing"/>
              <w:spacing w:line="240" w:lineRule="auto"/>
              <w:rPr>
                <w:rFonts w:ascii="Calibri" w:hAnsi="Calibri" w:eastAsia="Calibri" w:cs="Calibri"/>
                <w:b/>
                <w:sz w:val="20"/>
                <w:szCs w:val="20"/>
              </w:rPr>
            </w:pPr>
            <w:r>
              <w:rPr>
                <w:rFonts w:ascii="Calibri" w:hAnsi="Calibri" w:eastAsia="Calibri" w:cs="Calibri"/>
                <w:b/>
                <w:sz w:val="20"/>
                <w:szCs w:val="20"/>
              </w:rPr>
              <w:t xml:space="preserve">What will we do with this tier?</w:t>
            </w:r>
          </w:p>
          <w:p>
            <w:pPr>
              <w:pStyle w:val="NoSpacing"/>
              <w:spacing w:line="240" w:lineRule="auto"/>
              <w:rPr>
                <w:rFonts w:ascii="Calibri" w:hAnsi="Calibri" w:eastAsia="Calibri" w:cs="Calibri"/>
                <w:b/>
                <w:sz w:val="20"/>
                <w:szCs w:val="20"/>
              </w:rPr>
            </w:pPr>
          </w:p>
        </w:tc>
        <w:tc>
          <w:tcPr>
            <w:tcW w:type="dxa" w:w="9780"/>
            <w:tcBorders/>
            <w:shd w:fill="auto" w:color="auto" w:val="clear"/>
          </w:tcPr>
          <w:p>
            <w:pPr>
              <w:pStyle w:val="NoSpacing"/>
              <w:spacing w:line="240" w:lineRule="auto"/>
              <w:rPr>
                <w:rFonts w:ascii="Calibri" w:hAnsi="Calibri" w:eastAsia="Calibri" w:cs="Tahoma"/>
                <w:bCs/>
                <w:sz w:val="20"/>
                <w:szCs w:val="20"/>
              </w:rPr>
            </w:pPr>
            <w:r>
              <w:rPr>
                <w:rFonts w:ascii="Calibri" w:hAnsi="Calibri" w:eastAsia="Calibri" w:cs="Tahoma"/>
                <w:bCs/>
                <w:sz w:val="20"/>
                <w:szCs w:val="20"/>
              </w:rPr>
              <w:t xml:space="preserve">We will prioritise:</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Guaranteed Progression or Articulation</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Shared Delivery</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Flying Faculty</w:t>
            </w:r>
          </w:p>
          <w:p>
            <w:pPr>
              <w:pStyle w:val="NoSpacing"/>
              <w:numPr>
                <w:ilvl w:val="0"/>
                <w:numId w:val="12"/>
              </w:numPr>
              <w:spacing w:line="240" w:lineRule="auto"/>
              <w:rPr>
                <w:rFonts w:ascii="Calibri" w:hAnsi="Calibri" w:eastAsia="Calibri" w:cs="Tahoma"/>
                <w:bCs/>
                <w:sz w:val="20"/>
                <w:szCs w:val="20"/>
              </w:rPr>
            </w:pPr>
            <w:r>
              <w:rPr>
                <w:rFonts w:ascii="Calibri" w:hAnsi="Calibri" w:eastAsia="Calibri" w:cs="Tahoma"/>
                <w:bCs/>
                <w:sz w:val="20"/>
                <w:szCs w:val="20"/>
              </w:rPr>
              <w:t xml:space="preserve">Franchise of partial awards with UoC delivery of  final level(s) to FECs and </w:t>
            </w:r>
            <w:r>
              <w:rPr>
                <w:rFonts w:ascii="Calibri" w:hAnsi="Calibri" w:eastAsia="Calibri" w:cs="Calibri"/>
                <w:sz w:val="20"/>
                <w:szCs w:val="20"/>
              </w:rPr>
              <w:t xml:space="preserve">other publicly funded HE providers</w:t>
            </w:r>
          </w:p>
          <w:p>
            <w:pPr>
              <w:pStyle w:val="NoSpacing"/>
              <w:spacing w:line="240" w:lineRule="auto"/>
              <w:rPr>
                <w:rFonts w:ascii="Calibri" w:hAnsi="Calibri" w:eastAsia="Calibri" w:cs="Tahoma"/>
                <w:bCs/>
                <w:sz w:val="20"/>
                <w:szCs w:val="20"/>
              </w:rPr>
            </w:pPr>
            <w:r>
              <w:rPr>
                <w:rFonts w:ascii="Calibri" w:hAnsi="Calibri" w:eastAsia="Calibri" w:cs="Tahoma"/>
                <w:bCs/>
                <w:sz w:val="20"/>
                <w:szCs w:val="20"/>
              </w:rPr>
              <w:t xml:space="preserve">and may consider other ACP relationships</w:t>
            </w:r>
          </w:p>
        </w:tc>
      </w:tr>
      <w:tr>
        <w:trPr>
          <w:jc w:val="left"/>
        </w:trPr>
        <w:tc>
          <w:tcPr>
            <w:tcW w:type="dxa" w:w="1419"/>
            <w:tcBorders/>
            <w:shd w:fill="auto" w:color="auto" w:val="clear"/>
          </w:tcPr>
          <w:p>
            <w:pPr>
              <w:pStyle w:val="Default"/>
              <w:spacing w:line="240" w:lineRule="auto"/>
              <w:rPr>
                <w:color w:val="auto"/>
                <w:sz w:val="20"/>
                <w:szCs w:val="20"/>
              </w:rPr>
            </w:pPr>
            <w:r>
              <w:rPr>
                <w:b/>
                <w:bCs/>
                <w:iCs/>
                <w:color w:val="auto"/>
                <w:sz w:val="20"/>
                <w:szCs w:val="20"/>
              </w:rPr>
              <w:t xml:space="preserve">Where we are now: </w:t>
            </w:r>
          </w:p>
        </w:tc>
        <w:tc>
          <w:tcPr>
            <w:tcW w:type="dxa" w:w="9780"/>
            <w:tcBorders/>
          </w:tcPr>
          <w:p>
            <w:pPr>
              <w:pStyle w:val="Default"/>
              <w:spacing w:line="240" w:lineRule="auto"/>
              <w:rPr>
                <w:color w:val="auto"/>
                <w:sz w:val="20"/>
                <w:szCs w:val="20"/>
              </w:rPr>
            </w:pPr>
            <w:r>
              <w:rPr>
                <w:color w:val="auto"/>
                <w:sz w:val="20"/>
                <w:szCs w:val="20"/>
              </w:rPr>
              <w:t xml:space="preserve">We have formal arrangements in pla</w:t>
            </w:r>
            <w:r>
              <w:rPr>
                <w:color w:val="auto"/>
                <w:sz w:val="20"/>
                <w:szCs w:val="20"/>
              </w:rPr>
              <w:t xml:space="preserve">ce with 4 European institutions</w:t>
            </w:r>
            <w:r>
              <w:rPr>
                <w:color w:val="auto"/>
                <w:sz w:val="20"/>
                <w:szCs w:val="20"/>
              </w:rPr>
              <w:t xml:space="preserve"> and </w:t>
            </w:r>
            <w:r>
              <w:rPr>
                <w:color w:val="auto"/>
                <w:sz w:val="20"/>
                <w:szCs w:val="20"/>
              </w:rPr>
              <w:t xml:space="preserve">a range of MoUs in place with overseas partners</w:t>
            </w:r>
          </w:p>
        </w:tc>
      </w:tr>
      <w:tr>
        <w:trPr>
          <w:jc w:val="left"/>
        </w:trPr>
        <w:tc>
          <w:tcPr>
            <w:tcW w:type="dxa" w:w="1419"/>
            <w:tcBorders/>
            <w:shd w:fill="auto" w:color="auto" w:val="clear"/>
          </w:tcPr>
          <w:p>
            <w:pPr>
              <w:pStyle w:val="Default"/>
              <w:spacing w:line="240" w:lineRule="auto"/>
              <w:rPr>
                <w:color w:val="auto"/>
                <w:sz w:val="20"/>
                <w:szCs w:val="20"/>
              </w:rPr>
            </w:pPr>
            <w:r>
              <w:rPr>
                <w:b/>
                <w:bCs/>
                <w:iCs/>
                <w:color w:val="auto"/>
                <w:sz w:val="20"/>
                <w:szCs w:val="20"/>
              </w:rPr>
              <w:t xml:space="preserve">Where we want be: </w:t>
            </w:r>
          </w:p>
          <w:p>
            <w:pPr>
              <w:pStyle w:val="NoSpacing"/>
              <w:spacing w:line="240" w:lineRule="auto"/>
              <w:rPr>
                <w:rFonts w:ascii="Calibri" w:hAnsi="Calibri" w:eastAsia="Calibri" w:cs="Calibri"/>
                <w:b/>
                <w:sz w:val="20"/>
                <w:szCs w:val="20"/>
              </w:rPr>
            </w:pPr>
          </w:p>
        </w:tc>
        <w:tc>
          <w:tcPr>
            <w:tcW w:type="dxa" w:w="9780"/>
            <w:tcBorders/>
          </w:tcPr>
          <w:p>
            <w:pPr>
              <w:pStyle w:val="Default"/>
              <w:spacing w:line="240" w:lineRule="auto"/>
              <w:rPr>
                <w:color w:val="auto"/>
                <w:sz w:val="20"/>
                <w:szCs w:val="20"/>
              </w:rPr>
            </w:pPr>
            <w:r>
              <w:rPr>
                <w:color w:val="auto"/>
                <w:sz w:val="20"/>
                <w:szCs w:val="20"/>
              </w:rPr>
              <w:t xml:space="preserve">We wish to develop a number of key </w:t>
            </w:r>
            <w:r>
              <w:rPr>
                <w:color w:val="auto"/>
                <w:sz w:val="20"/>
                <w:szCs w:val="20"/>
              </w:rPr>
              <w:t xml:space="preserve">international </w:t>
            </w:r>
            <w:r>
              <w:rPr>
                <w:color w:val="auto"/>
                <w:sz w:val="20"/>
                <w:szCs w:val="20"/>
              </w:rPr>
              <w:t xml:space="preserve">partnerships delivering a range of collaborative and other activity across subject areas.  For the effective maintenance of these partnerships, they should be clustered in a few countries/regions.  The foundation activity for most of these partnerships will be progression.</w:t>
            </w:r>
          </w:p>
          <w:p>
            <w:pPr>
              <w:pStyle w:val="Default"/>
              <w:spacing w:line="240" w:lineRule="auto"/>
              <w:rPr>
                <w:color w:val="auto"/>
                <w:sz w:val="20"/>
                <w:szCs w:val="20"/>
              </w:rPr>
            </w:pPr>
            <w:r>
              <w:rPr>
                <w:color w:val="auto"/>
                <w:sz w:val="20"/>
                <w:szCs w:val="20"/>
              </w:rPr>
              <w:t xml:space="preserve">We wish to have productive, multi-faceted </w:t>
            </w:r>
            <w:r>
              <w:rPr>
                <w:color w:val="auto"/>
                <w:sz w:val="20"/>
                <w:szCs w:val="20"/>
              </w:rPr>
              <w:t xml:space="preserve">international </w:t>
            </w:r>
            <w:r>
              <w:rPr>
                <w:color w:val="auto"/>
                <w:sz w:val="20"/>
                <w:szCs w:val="20"/>
              </w:rPr>
              <w:t xml:space="preserve">partnerships, ‘owned’ jointly by faculties, and delivering increasing numbers of students to UoC awards, as well as offering opportunities for research, short courses etc.</w:t>
            </w:r>
          </w:p>
        </w:tc>
      </w:tr>
      <w:tr>
        <w:trPr>
          <w:jc w:val="left"/>
        </w:trPr>
        <w:tc>
          <w:tcPr>
            <w:tcW w:type="dxa" w:w="1419"/>
            <w:tcBorders/>
            <w:shd w:fill="auto" w:color="auto" w:val="clear"/>
          </w:tcPr>
          <w:p>
            <w:pPr>
              <w:pStyle w:val="Default"/>
              <w:spacing w:line="240" w:lineRule="auto"/>
              <w:rPr>
                <w:color w:val="auto"/>
                <w:sz w:val="20"/>
                <w:szCs w:val="20"/>
              </w:rPr>
            </w:pPr>
            <w:r>
              <w:rPr>
                <w:b/>
                <w:bCs/>
                <w:iCs/>
                <w:color w:val="auto"/>
                <w:sz w:val="20"/>
                <w:szCs w:val="20"/>
              </w:rPr>
              <w:t xml:space="preserve">How will we get there: </w:t>
            </w:r>
          </w:p>
          <w:p>
            <w:pPr>
              <w:pStyle w:val="NoSpacing"/>
              <w:spacing w:line="240" w:lineRule="auto"/>
              <w:rPr>
                <w:rFonts w:ascii="Calibri" w:hAnsi="Calibri" w:eastAsia="Calibri" w:cs="Calibri"/>
                <w:b/>
                <w:sz w:val="20"/>
                <w:szCs w:val="20"/>
              </w:rPr>
            </w:pPr>
          </w:p>
        </w:tc>
        <w:tc>
          <w:tcPr>
            <w:tcW w:type="dxa" w:w="9780"/>
            <w:tcBorders/>
          </w:tcPr>
          <w:p>
            <w:pPr>
              <w:pStyle w:val="Default"/>
              <w:spacing w:line="240" w:lineRule="auto"/>
              <w:rPr>
                <w:color w:val="auto"/>
                <w:sz w:val="20"/>
                <w:szCs w:val="20"/>
              </w:rPr>
            </w:pPr>
            <w:r>
              <w:rPr>
                <w:color w:val="auto"/>
                <w:sz w:val="20"/>
                <w:szCs w:val="20"/>
              </w:rPr>
              <w:t xml:space="preserve">We will seek new activity with existing partners and identify opportunities to develop further work with them and within their region. We will identify key geographical regions and identify appropriate and new partner institutions within those regions through our contacts across Europe e.g. Erasmus partners and other contacts</w:t>
            </w:r>
            <w:r>
              <w:rPr>
                <w:color w:val="auto"/>
                <w:sz w:val="20"/>
                <w:szCs w:val="20"/>
              </w:rPr>
              <w:t xml:space="preserve">, and overseas</w:t>
            </w:r>
            <w:r>
              <w:rPr>
                <w:color w:val="auto"/>
                <w:sz w:val="20"/>
                <w:szCs w:val="20"/>
              </w:rPr>
              <w:t xml:space="preserve">. We will focus our efforts on developing partnerships with institutions of similar ranking and reputation. We will work to raise our brand awareness in key areas and actively pursue a relationship with these new partners.</w:t>
            </w:r>
          </w:p>
          <w:p>
            <w:pPr>
              <w:pStyle w:val="Default"/>
              <w:spacing w:line="240" w:lineRule="auto"/>
              <w:rPr>
                <w:color w:val="auto"/>
                <w:sz w:val="20"/>
                <w:szCs w:val="20"/>
              </w:rPr>
            </w:pPr>
            <w:r>
              <w:rPr>
                <w:color w:val="auto"/>
                <w:sz w:val="20"/>
                <w:szCs w:val="20"/>
              </w:rPr>
              <w:t xml:space="preserve">We will seek to develop regional clusters of productive </w:t>
            </w:r>
            <w:r>
              <w:rPr>
                <w:color w:val="auto"/>
                <w:sz w:val="20"/>
                <w:szCs w:val="20"/>
              </w:rPr>
              <w:t xml:space="preserve">international </w:t>
            </w:r>
            <w:r>
              <w:rPr>
                <w:color w:val="auto"/>
                <w:sz w:val="20"/>
                <w:szCs w:val="20"/>
              </w:rPr>
              <w:t xml:space="preserve">partnerships within our target geographical areas, building our brand awareness and reputation in these focused areas.</w:t>
            </w:r>
          </w:p>
          <w:p>
            <w:pPr>
              <w:pStyle w:val="Default"/>
              <w:spacing w:line="240" w:lineRule="auto"/>
              <w:rPr>
                <w:color w:val="auto"/>
                <w:sz w:val="20"/>
                <w:szCs w:val="20"/>
              </w:rPr>
            </w:pPr>
            <w:r>
              <w:rPr>
                <w:color w:val="auto"/>
                <w:sz w:val="20"/>
                <w:szCs w:val="20"/>
              </w:rPr>
              <w:t xml:space="preserve"> </w:t>
            </w:r>
            <w:r>
              <w:rPr>
                <w:color w:val="auto"/>
                <w:sz w:val="20"/>
                <w:szCs w:val="20"/>
              </w:rPr>
              <w:t xml:space="preserve">We will raise awareness amongst academic colleagues of the various forms of collaboration so they can be alert to, and equipped to develop, new opportunities during</w:t>
            </w:r>
            <w:r>
              <w:rPr>
                <w:color w:val="auto"/>
                <w:sz w:val="20"/>
                <w:szCs w:val="20"/>
              </w:rPr>
              <w:t xml:space="preserve"> international </w:t>
            </w:r>
            <w:r>
              <w:rPr>
                <w:color w:val="auto"/>
                <w:sz w:val="20"/>
                <w:szCs w:val="20"/>
              </w:rPr>
              <w:t xml:space="preserve">visits.</w:t>
            </w:r>
          </w:p>
        </w:tc>
      </w:tr>
    </w:tbl>
    <w:p>
      <w:pPr>
        <w:pStyle w:val="NoSpacing"/>
        <w:spacing w:line="240" w:lineRule="auto"/>
        <w:rPr>
          <w:rFonts w:ascii="Calibri" w:hAnsi="Calibri" w:eastAsia="Calibri" w:cs="Calibri"/>
          <w:b/>
          <w:sz w:val="20"/>
          <w:szCs w:val="20"/>
        </w:rPr>
      </w:pPr>
    </w:p>
    <w:tbl>
      <w:tblPr>
        <w:tblW w:w="11199"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7656"/>
        <w:gridCol w:w="1181"/>
        <w:gridCol w:w="1181"/>
        <w:gridCol w:w="1181"/>
      </w:tblGrid>
      <w:tr>
        <w:trPr>
          <w:trHeight w:val="266"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b/>
                <w:color w:val="auto"/>
                <w:sz w:val="18"/>
                <w:szCs w:val="18"/>
              </w:rPr>
              <w:t xml:space="preserve">Performance Indicators and Milestones (</w:t>
            </w:r>
            <w:r>
              <w:rPr>
                <w:rFonts w:ascii="Calibri" w:hAnsi="Calibri" w:eastAsia="Calibri" w:cs="Calibri"/>
                <w:b/>
                <w:color w:val="auto"/>
                <w:sz w:val="18"/>
                <w:szCs w:val="18"/>
              </w:rPr>
              <w:t xml:space="preserve">International </w:t>
            </w:r>
            <w:r>
              <w:rPr>
                <w:rFonts w:ascii="Calibri" w:hAnsi="Calibri" w:eastAsia="Calibri" w:cs="Calibri"/>
                <w:b/>
                <w:color w:val="auto"/>
                <w:sz w:val="18"/>
                <w:szCs w:val="18"/>
              </w:rPr>
              <w:t xml:space="preserve">tier)</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Baseline</w:t>
            </w:r>
          </w:p>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2013</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Milestone</w:t>
            </w:r>
          </w:p>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2016</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Target</w:t>
            </w:r>
          </w:p>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2018</w:t>
            </w:r>
          </w:p>
        </w:tc>
      </w:tr>
      <w:tr>
        <w:trPr>
          <w:trHeight w:val="266"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European tier partners with formal collaborative agreements with UoC</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3</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5</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8</w:t>
            </w:r>
          </w:p>
        </w:tc>
      </w:tr>
      <w:tr>
        <w:trPr>
          <w:trHeight w:val="266"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Overseas tier partners with formal collaborative agreements with UoC  </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20</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European tier partners with guaranteed progression/articulation agreements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4</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10</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Overseas tier partners with guaranteed progression/articulation agreements </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7</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16</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joint awards delivered with European tier partners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3</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joint awards delivered with Overseas tier partners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UoC programmes delivered by Flying Faculty in the European tier</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5</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UoC programmes delivered by Flying Faculty in the Overseas tier</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3</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5</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European tier franchise partnerships with arrangements leading to UoC delivery of final level(s) of award</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Overseas tier franchise/ partnerships with arrangements leading to UoC delivery of final level(s) of award</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4</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European tier partners delivering a single UoC Award</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European tier partners delivering multiple UoC Awards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3</w:t>
            </w:r>
          </w:p>
        </w:tc>
      </w:tr>
      <w:tr>
        <w:trPr>
          <w:trHeight w:val="111"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Overseas tier partners delivering multiple UoC Awards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3</w:t>
            </w:r>
          </w:p>
        </w:tc>
      </w:tr>
      <w:tr>
        <w:trPr>
          <w:trHeight w:val="265"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students registered on UoC awards in European tier partnerships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10</w:t>
            </w:r>
            <w:r>
              <w:rPr>
                <w:rFonts w:ascii="Calibri" w:hAnsi="Calibri" w:eastAsia="Calibri" w:cs="Calibri"/>
                <w:sz w:val="18"/>
                <w:szCs w:val="18"/>
              </w:rPr>
              <w:t xml:space="preserve">00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140</w:t>
            </w: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1500</w:t>
            </w:r>
          </w:p>
        </w:tc>
      </w:tr>
      <w:tr>
        <w:trPr>
          <w:trHeight w:val="265"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students registered on UoC awards in Overseas tier partnerships</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60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100</w:t>
            </w:r>
          </w:p>
        </w:tc>
      </w:tr>
      <w:tr>
        <w:trPr>
          <w:trHeight w:val="265"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students from Overseas tier partnerships who progress or articulate to an award delivered by the University at level 4</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40</w:t>
            </w:r>
          </w:p>
        </w:tc>
      </w:tr>
      <w:tr>
        <w:trPr>
          <w:trHeight w:val="265"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students from European tier partnerships who progress or articulate to an award delivered by the University at level 5 or 6</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35</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70</w:t>
            </w:r>
          </w:p>
        </w:tc>
      </w:tr>
      <w:tr>
        <w:trPr>
          <w:trHeight w:val="265" w:hRule="atLeast"/>
          <w:jc w:val="left"/>
        </w:trPr>
        <w:tc>
          <w:tcPr>
            <w:tcW w:type="dxa" w:w="7656"/>
            <w:tcBorders/>
          </w:tcPr>
          <w:p>
            <w:pPr>
              <w:pStyle w:val="Default"/>
              <w:spacing w:line="240" w:lineRule="auto"/>
              <w:rPr>
                <w:rFonts w:ascii="Calibri" w:hAnsi="Calibri" w:eastAsia="Calibri" w:cs="Calibri"/>
                <w:sz w:val="18"/>
                <w:szCs w:val="18"/>
              </w:rPr>
            </w:pPr>
            <w:r>
              <w:rPr>
                <w:rFonts w:ascii="Calibri" w:hAnsi="Calibri" w:eastAsia="Calibri" w:cs="Calibri"/>
                <w:sz w:val="18"/>
                <w:szCs w:val="18"/>
              </w:rPr>
              <w:t xml:space="preserve">Number of students from Overseas tier partnerships who progress or articulate to an award delivered by the University at level 5 or 6</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0</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25</w:t>
            </w:r>
          </w:p>
        </w:tc>
        <w:tc>
          <w:tcPr>
            <w:tcW w:type="dxa" w:w="1181"/>
            <w:tcBorders/>
          </w:tcPr>
          <w:p>
            <w:pPr>
              <w:pStyle w:val="Default"/>
              <w:spacing w:line="240" w:lineRule="auto"/>
              <w:jc w:val="center"/>
              <w:rPr>
                <w:rFonts w:ascii="Calibri" w:hAnsi="Calibri" w:eastAsia="Calibri" w:cs="Calibri"/>
                <w:sz w:val="18"/>
                <w:szCs w:val="18"/>
              </w:rPr>
            </w:pPr>
            <w:r>
              <w:rPr>
                <w:rFonts w:ascii="Calibri" w:hAnsi="Calibri" w:eastAsia="Calibri" w:cs="Calibri"/>
                <w:sz w:val="18"/>
                <w:szCs w:val="18"/>
              </w:rPr>
              <w:t xml:space="preserve">50</w:t>
            </w:r>
          </w:p>
        </w:tc>
      </w:tr>
    </w:tbl>
    <w:p>
      <w:pPr>
        <w:pStyle w:val="NoSpacing"/>
        <w:spacing w:line="240" w:lineRule="auto"/>
        <w:rPr>
          <w:rFonts w:ascii="Calibri" w:hAnsi="Calibri" w:eastAsia="Calibri" w:cs="Calibri"/>
          <w:b/>
          <w:sz w:val="20"/>
          <w:szCs w:val="20"/>
          <w:lang w:eastAsia="en-GB"/>
        </w:rPr>
      </w:pPr>
    </w:p>
    <w:p>
      <w:pPr>
        <w:pStyle w:val="NoSpacing"/>
        <w:spacing w:line="240" w:lineRule="auto"/>
        <w:rPr>
          <w:rFonts w:ascii="Calibri" w:hAnsi="Calibri" w:eastAsia="Calibri" w:cs="Calibri"/>
          <w:b/>
          <w:sz w:val="20"/>
          <w:szCs w:val="20"/>
          <w:lang w:eastAsia="en-GB"/>
        </w:rPr>
      </w:pPr>
    </w:p>
    <w:p>
      <w:pPr>
        <w:spacing w:line="240" w:lineRule="auto"/>
        <w:rPr>
          <w:rFonts w:ascii="Calibri" w:hAnsi="Calibri" w:eastAsia="Calibri" w:cs="Calibri"/>
          <w:b/>
          <w:sz w:val="22"/>
          <w:szCs w:val="22"/>
        </w:rPr>
      </w:pPr>
      <w:r>
        <w:rPr>
          <w:rFonts w:ascii="Calibri" w:hAnsi="Calibri" w:eastAsia="Calibri" w:cs="Calibri"/>
          <w:b/>
          <w:sz w:val="22"/>
          <w:szCs w:val="22"/>
        </w:rPr>
        <w:t xml:space="preserve">Appendix 1:</w:t>
      </w:r>
    </w:p>
    <w:p>
      <w:pPr>
        <w:spacing w:line="240" w:lineRule="auto"/>
        <w:rPr>
          <w:rFonts w:ascii="Calibri" w:hAnsi="Calibri" w:eastAsia="Calibri" w:cs="Calibri"/>
        </w:rPr>
      </w:pPr>
    </w:p>
    <w:p>
      <w:pPr>
        <w:spacing w:line="240" w:lineRule="auto"/>
        <w:rPr>
          <w:rFonts w:ascii="Calibri" w:hAnsi="Calibri" w:eastAsia="Calibri" w:cs="Tahoma"/>
          <w:b/>
          <w:bCs/>
          <w:sz w:val="22"/>
          <w:szCs w:val="22"/>
        </w:rPr>
      </w:pPr>
      <w:r>
        <w:rPr>
          <w:rFonts w:ascii="Calibri" w:hAnsi="Calibri" w:eastAsia="Calibri" w:cs="Tahoma"/>
          <w:b/>
          <w:bCs/>
          <w:sz w:val="22"/>
          <w:szCs w:val="22"/>
        </w:rPr>
        <w:t xml:space="preserve">The University of Cumbria’s Definition and Models of </w:t>
      </w:r>
      <w:r>
        <w:rPr>
          <w:rFonts w:ascii="Calibri" w:hAnsi="Calibri" w:eastAsia="Calibri" w:cs="Tahoma"/>
          <w:b/>
          <w:bCs/>
          <w:sz w:val="22"/>
          <w:szCs w:val="22"/>
        </w:rPr>
        <w:t xml:space="preserve">Academic Collaborative Provision </w:t>
      </w:r>
    </w:p>
    <w:p>
      <w:pPr>
        <w:spacing w:line="240" w:lineRule="auto"/>
        <w:rPr>
          <w:rFonts w:ascii="Calibri" w:hAnsi="Calibri" w:eastAsia="Calibri" w:cs="Tahoma"/>
          <w:b/>
          <w:bCs/>
          <w:sz w:val="22"/>
          <w:szCs w:val="22"/>
        </w:rPr>
      </w:pPr>
    </w:p>
    <w:p>
      <w:pPr>
        <w:spacing w:line="240" w:lineRule="auto"/>
        <w:rPr>
          <w:rFonts w:ascii="Calibri" w:hAnsi="Calibri" w:eastAsia="Calibri" w:cs="Tahoma"/>
          <w:b/>
          <w:bCs/>
          <w:sz w:val="22"/>
          <w:szCs w:val="22"/>
        </w:rPr>
      </w:pPr>
      <w:r>
        <w:rPr>
          <w:rFonts w:ascii="Calibri" w:hAnsi="Calibri" w:eastAsia="Calibri" w:cs="Tahoma"/>
          <w:sz w:val="22"/>
          <w:szCs w:val="22"/>
        </w:rPr>
        <w:t xml:space="preserve">Across the breadth of its provision, the University recognises the QAA’s definition for working with others; ‘The management of all learning opportunities leading or contributing to the award of academic credit or a qualification that are delivered, assessed or supported through an arrangement with one or more organisations other than the degree-awarding body’ (</w:t>
      </w:r>
      <w:hyperlink r:id="rId3" w:history="1">
        <w:r>
          <w:rPr>
            <w:rFonts w:ascii="Calibri" w:hAnsi="Calibri" w:eastAsia="Calibri" w:cs="Tahoma"/>
            <w:sz w:val="22"/>
            <w:szCs w:val="22"/>
          </w:rPr>
          <w:t xml:space="preserve">Quality Code Chapter B10: Managing Higher Education Provision with Others</w:t>
        </w:r>
      </w:hyperlink>
      <w:r>
        <w:rPr>
          <w:rFonts w:ascii="Calibri" w:hAnsi="Calibri" w:eastAsia="Calibri" w:cs="Tahoma"/>
          <w:sz w:val="22"/>
          <w:szCs w:val="22"/>
        </w:rPr>
        <w:t xml:space="preserve">, page 3). </w:t>
      </w:r>
      <w:r>
        <w:rPr>
          <w:rFonts w:ascii="Calibri" w:hAnsi="Calibri" w:eastAsia="Calibri" w:cs="Tahoma"/>
          <w:sz w:val="22"/>
          <w:szCs w:val="22"/>
        </w:rPr>
        <w:t xml:space="preserve">Within th</w:t>
      </w:r>
      <w:r>
        <w:rPr>
          <w:rFonts w:ascii="Calibri" w:hAnsi="Calibri" w:eastAsia="Calibri" w:cs="Tahoma"/>
          <w:sz w:val="22"/>
          <w:szCs w:val="22"/>
        </w:rPr>
        <w:t xml:space="preserve">is </w:t>
      </w:r>
      <w:r>
        <w:rPr>
          <w:rFonts w:ascii="Calibri" w:hAnsi="Calibri" w:eastAsia="Calibri" w:cs="Tahoma"/>
          <w:sz w:val="22"/>
          <w:szCs w:val="22"/>
        </w:rPr>
        <w:t xml:space="preserve">definition the University has identified </w:t>
      </w:r>
      <w:r>
        <w:rPr>
          <w:rFonts w:ascii="Calibri" w:hAnsi="Calibri" w:eastAsia="Calibri" w:cs="Tahoma"/>
          <w:sz w:val="22"/>
          <w:szCs w:val="22"/>
        </w:rPr>
        <w:t xml:space="preserve">a </w:t>
      </w:r>
      <w:r>
        <w:rPr>
          <w:rFonts w:ascii="Calibri" w:hAnsi="Calibri" w:eastAsia="Calibri" w:cs="Tahoma"/>
          <w:sz w:val="22"/>
          <w:szCs w:val="22"/>
        </w:rPr>
        <w:t xml:space="preserve">taxonomy of working with others:</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Franchised programmes delivered by non-degree awarding bodies (approved as an Associate Partner) through a variety of models.</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Validated programmes delivered by non-degree awarding bodies (approved as an Associate Partner) through a variety of models.</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Joint Awards, jointly delivered with a single joint award granted by the University and one or more awarding bodies (approved as an Associate Partner).</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Dual Awards, jointly delivered with separate awards granted by the University and one or more awarding bodies (approved as an Associate Partner).</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Shared delivery where the University makes uses of expertise from another organisation to input substantially into its award (note, Shared Delivery may be with an Associate Partner or another organisation).</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School Direct arrangements with school alliances to deliver the University’s PGCE programme(s).</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Articulation Arrangements.</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Guaranteed Progression. </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Offsite Delivery.</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Flying Faculty arrangements for international arrangements (including the provision of resources or use of local administrative staff to support the arrangement). </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Accreditation of Employer-based Training.</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Placements. </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Work-based learning opportunities where the workplace is used as a site of learning.</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Distance Learning.</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Provision of learning support, resources or specialist facilities.</w:t>
      </w:r>
    </w:p>
    <w:p>
      <w:pPr>
        <w:numPr>
          <w:ilvl w:val="0"/>
          <w:numId w:val="13"/>
        </w:numPr>
        <w:spacing w:line="240" w:lineRule="auto"/>
        <w:jc w:val="both"/>
        <w:rPr>
          <w:rFonts w:ascii="Calibri" w:hAnsi="Calibri" w:eastAsia="Calibri" w:cs="Tahoma"/>
          <w:sz w:val="22"/>
          <w:szCs w:val="22"/>
        </w:rPr>
      </w:pPr>
      <w:r>
        <w:rPr>
          <w:rFonts w:ascii="Calibri" w:hAnsi="Calibri" w:eastAsia="Calibri" w:cs="Tahoma"/>
          <w:sz w:val="22"/>
          <w:szCs w:val="22"/>
        </w:rPr>
        <w:t xml:space="preserve">Study abroad and student exchange.</w:t>
      </w:r>
    </w:p>
    <w:p>
      <w:pPr>
        <w:spacing w:before="100" w:beforeAutospacing="1" w:after="60" w:line="240" w:lineRule="auto"/>
        <w:rPr>
          <w:rFonts w:ascii="Calibri" w:hAnsi="Calibri" w:eastAsia="Calibri" w:cs="Tahoma"/>
          <w:sz w:val="22"/>
          <w:szCs w:val="22"/>
        </w:rPr>
      </w:pPr>
      <w:r>
        <w:rPr>
          <w:rFonts w:ascii="Calibri" w:hAnsi="Calibri" w:eastAsia="Calibri" w:cs="Tahoma"/>
          <w:sz w:val="22"/>
          <w:szCs w:val="22"/>
        </w:rPr>
        <w:t xml:space="preserve">In general terms, arrangements whereby delivery and/or assessment of academic content leading to the achievement of University award is undertaken by another organisation pose a high</w:t>
      </w:r>
      <w:r>
        <w:rPr>
          <w:rFonts w:ascii="Calibri" w:hAnsi="Calibri" w:eastAsia="Calibri" w:cs="Tahoma"/>
          <w:sz w:val="22"/>
          <w:szCs w:val="22"/>
        </w:rPr>
        <w:t xml:space="preserve">er</w:t>
      </w:r>
      <w:r>
        <w:rPr>
          <w:rFonts w:ascii="Calibri" w:hAnsi="Calibri" w:eastAsia="Calibri" w:cs="Tahoma"/>
          <w:sz w:val="22"/>
          <w:szCs w:val="22"/>
        </w:rPr>
        <w:t xml:space="preserve"> threat to the University’s ability to safeguard its Academic Standards.  For this reason, these forms of </w:t>
      </w:r>
      <w:r>
        <w:rPr>
          <w:rFonts w:ascii="Calibri" w:hAnsi="Calibri" w:eastAsia="Calibri" w:cs="Tahoma"/>
          <w:sz w:val="22"/>
          <w:szCs w:val="22"/>
        </w:rPr>
        <w:t xml:space="preserve">‘</w:t>
      </w:r>
      <w:r>
        <w:rPr>
          <w:rFonts w:ascii="Calibri" w:hAnsi="Calibri" w:eastAsia="Calibri" w:cs="Tahoma"/>
          <w:sz w:val="22"/>
          <w:szCs w:val="22"/>
        </w:rPr>
        <w:t xml:space="preserve">Working With Others</w:t>
      </w:r>
      <w:r>
        <w:rPr>
          <w:rFonts w:ascii="Calibri" w:hAnsi="Calibri" w:eastAsia="Calibri" w:cs="Tahoma"/>
          <w:sz w:val="22"/>
          <w:szCs w:val="22"/>
        </w:rPr>
        <w:t xml:space="preserve">’</w:t>
      </w:r>
      <w:r>
        <w:rPr>
          <w:rFonts w:ascii="Calibri" w:hAnsi="Calibri" w:eastAsia="Calibri" w:cs="Tahoma"/>
          <w:sz w:val="22"/>
          <w:szCs w:val="22"/>
        </w:rPr>
        <w:t xml:space="preserve"> are referred to as </w:t>
      </w:r>
      <w:r>
        <w:rPr>
          <w:rFonts w:ascii="Calibri" w:hAnsi="Calibri" w:eastAsia="Calibri" w:cs="Tahoma"/>
          <w:sz w:val="22"/>
          <w:szCs w:val="22"/>
        </w:rPr>
        <w:t xml:space="preserve">‘Academic </w:t>
      </w:r>
      <w:r>
        <w:rPr>
          <w:rFonts w:ascii="Calibri" w:hAnsi="Calibri" w:eastAsia="Calibri" w:cs="Tahoma"/>
          <w:sz w:val="22"/>
          <w:szCs w:val="22"/>
        </w:rPr>
        <w:t xml:space="preserve">Collaborative </w:t>
      </w:r>
      <w:r>
        <w:rPr>
          <w:rFonts w:ascii="Calibri" w:hAnsi="Calibri" w:eastAsia="Calibri" w:cs="Tahoma"/>
          <w:sz w:val="22"/>
          <w:szCs w:val="22"/>
        </w:rPr>
        <w:t xml:space="preserve">Provision’:</w:t>
      </w:r>
    </w:p>
    <w:p>
      <w:pPr>
        <w:spacing w:line="240" w:lineRule="auto"/>
        <w:jc w:val="both"/>
        <w:rPr>
          <w:rFonts w:ascii="Calibri" w:hAnsi="Calibri" w:eastAsia="Calibri" w:cs="Tahoma"/>
          <w:sz w:val="22"/>
          <w:szCs w:val="22"/>
        </w:rPr>
      </w:pPr>
    </w:p>
    <w:p>
      <w:pPr>
        <w:pStyle w:val="Subtitle"/>
        <w:spacing w:line="240" w:lineRule="auto"/>
        <w:jc w:val="left"/>
        <w:rPr>
          <w:rFonts w:ascii="Calibri" w:hAnsi="Calibri" w:eastAsia="Calibri" w:cs="Arial"/>
          <w:b/>
          <w:sz w:val="22"/>
          <w:szCs w:val="22"/>
        </w:rPr>
      </w:pPr>
      <w:r>
        <w:rPr>
          <w:rFonts w:ascii="Calibri" w:hAnsi="Calibri" w:eastAsia="Calibri" w:cs="Calibri"/>
          <w:b/>
          <w:sz w:val="22"/>
          <w:szCs w:val="22"/>
        </w:rPr>
        <w:t xml:space="preserve">Associate Partner (Institutional)</w:t>
      </w:r>
    </w:p>
    <w:p>
      <w:pPr>
        <w:spacing w:line="240" w:lineRule="auto"/>
        <w:jc w:val="both"/>
        <w:rPr>
          <w:rFonts w:ascii="Calibri" w:hAnsi="Calibri" w:eastAsia="Calibri" w:cs="Arial"/>
          <w:sz w:val="22"/>
          <w:szCs w:val="22"/>
        </w:rPr>
      </w:pPr>
      <w:r>
        <w:rPr>
          <w:rFonts w:ascii="Calibri" w:hAnsi="Calibri" w:eastAsia="Calibri" w:cs="Calibri"/>
          <w:sz w:val="22"/>
          <w:szCs w:val="22"/>
        </w:rPr>
        <w:t xml:space="preserve">Associate Partners (Institutional) are approved by the University to deliver programmes leading to a University of Cumbria award.  Associate Partners (Institutional) undergo an institutional approval process leading to an Institutional Agreement.  Once approved, the following arrangements are permitted:</w:t>
      </w:r>
    </w:p>
    <w:p>
      <w:pPr>
        <w:spacing w:line="240" w:lineRule="auto"/>
        <w:ind w:left="792"/>
        <w:jc w:val="both"/>
        <w:rPr>
          <w:rFonts w:ascii="Calibri" w:hAnsi="Calibri" w:eastAsia="Calibri" w:cs="Arial"/>
          <w:sz w:val="22"/>
          <w:szCs w:val="22"/>
        </w:rPr>
      </w:pPr>
    </w:p>
    <w:p>
      <w:pPr>
        <w:spacing w:line="240" w:lineRule="auto"/>
        <w:jc w:val="both"/>
        <w:rPr>
          <w:rFonts w:ascii="Calibri" w:hAnsi="Calibri" w:eastAsia="Calibri" w:cs="Arial"/>
          <w:sz w:val="22"/>
          <w:szCs w:val="22"/>
        </w:rPr>
      </w:pPr>
      <w:r>
        <w:rPr>
          <w:rFonts w:ascii="Calibri" w:hAnsi="Calibri" w:eastAsia="Calibri" w:cs="Arial"/>
          <w:b/>
          <w:i/>
          <w:sz w:val="22"/>
          <w:szCs w:val="22"/>
        </w:rPr>
        <w:t xml:space="preserve">Validated Programme</w:t>
      </w:r>
      <w:r>
        <w:rPr>
          <w:rFonts w:ascii="Calibri" w:hAnsi="Calibri" w:eastAsia="Calibri" w:cs="Arial"/>
          <w:sz w:val="22"/>
          <w:szCs w:val="22"/>
        </w:rPr>
        <w:t xml:space="preserve"> – a programme of study designed, delivered and assessed by an Associate Partner on its premises. The programme is validated by the University (but not delivered by the University) and subject to the quality assurance procedures of the University.  Validated programmes are Academic Collaborative Provision.</w:t>
      </w:r>
    </w:p>
    <w:p>
      <w:pPr>
        <w:spacing w:line="240" w:lineRule="auto"/>
        <w:ind w:left="1224"/>
        <w:jc w:val="both"/>
        <w:rPr>
          <w:rFonts w:ascii="Calibri" w:hAnsi="Calibri" w:eastAsia="Calibri" w:cs="Arial"/>
          <w:sz w:val="22"/>
          <w:szCs w:val="22"/>
        </w:rPr>
      </w:pPr>
    </w:p>
    <w:p>
      <w:pPr>
        <w:spacing w:line="240" w:lineRule="auto"/>
        <w:jc w:val="both"/>
        <w:rPr>
          <w:rFonts w:ascii="Calibri" w:hAnsi="Calibri" w:eastAsia="Calibri" w:cs="Arial"/>
          <w:sz w:val="22"/>
          <w:szCs w:val="22"/>
        </w:rPr>
      </w:pPr>
      <w:r>
        <w:rPr>
          <w:rFonts w:ascii="Calibri" w:hAnsi="Calibri" w:eastAsia="Calibri" w:cs="Arial"/>
          <w:b/>
          <w:i/>
          <w:sz w:val="22"/>
          <w:szCs w:val="22"/>
        </w:rPr>
        <w:t xml:space="preserve">Franchised Programme</w:t>
      </w:r>
      <w:r>
        <w:rPr>
          <w:rFonts w:ascii="Calibri" w:hAnsi="Calibri" w:eastAsia="Calibri" w:cs="Arial"/>
          <w:sz w:val="22"/>
          <w:szCs w:val="22"/>
        </w:rPr>
        <w:t xml:space="preserve"> – a programme of study designed and validated by the University but approved to be delivered and assessed by an Associate Partner on its premises (the same provision may also be delivered and assessed by The University on its premises).  The programme would be subject to the quality assurance procedures of the University.  Franchised programmes are Academic Collaborative Provision.</w:t>
      </w:r>
    </w:p>
    <w:p>
      <w:pPr>
        <w:spacing w:line="240" w:lineRule="auto"/>
        <w:ind w:left="1224"/>
        <w:jc w:val="both"/>
        <w:rPr>
          <w:rFonts w:ascii="Calibri" w:hAnsi="Calibri" w:eastAsia="Calibri" w:cs="Arial"/>
          <w:sz w:val="22"/>
          <w:szCs w:val="22"/>
        </w:rPr>
      </w:pPr>
    </w:p>
    <w:p>
      <w:pPr>
        <w:spacing w:line="240" w:lineRule="auto"/>
        <w:jc w:val="both"/>
        <w:rPr>
          <w:rFonts w:ascii="Calibri" w:hAnsi="Calibri" w:eastAsia="Calibri" w:cs="Arial"/>
          <w:sz w:val="22"/>
          <w:szCs w:val="22"/>
        </w:rPr>
      </w:pPr>
      <w:r>
        <w:rPr>
          <w:rFonts w:ascii="Calibri" w:hAnsi="Calibri" w:eastAsia="Calibri" w:cs="Arial"/>
          <w:b/>
          <w:i/>
          <w:sz w:val="22"/>
          <w:szCs w:val="22"/>
        </w:rPr>
        <w:t xml:space="preserve">Networked Validated or Franchised Programmes</w:t>
      </w:r>
      <w:r>
        <w:rPr>
          <w:rFonts w:ascii="Calibri" w:hAnsi="Calibri" w:eastAsia="Calibri" w:cs="Arial"/>
          <w:sz w:val="22"/>
          <w:szCs w:val="22"/>
        </w:rPr>
        <w:t xml:space="preserve"> – as above but design, delivery and assessment involves a number of Associate Partners each delivering on their premises (The University may also be involved in the design delivery and assessment on its premises).  The awards are subject to the quality assurance procedures of the University.  Networked programmes are Academic Collaborative Provision.</w:t>
      </w:r>
    </w:p>
    <w:p>
      <w:pPr>
        <w:spacing w:line="240" w:lineRule="auto"/>
        <w:ind w:left="1224"/>
        <w:jc w:val="both"/>
        <w:rPr>
          <w:rFonts w:ascii="Calibri" w:hAnsi="Calibri" w:eastAsia="Calibri" w:cs="Arial"/>
          <w:sz w:val="22"/>
          <w:szCs w:val="22"/>
        </w:rPr>
      </w:pPr>
    </w:p>
    <w:p>
      <w:pPr>
        <w:pStyle w:val="Subtitle"/>
        <w:spacing w:line="240" w:lineRule="auto"/>
        <w:jc w:val="left"/>
        <w:rPr>
          <w:rFonts w:ascii="Calibri" w:hAnsi="Calibri" w:eastAsia="Calibri" w:cs="Calibri"/>
          <w:b/>
          <w:sz w:val="22"/>
          <w:szCs w:val="22"/>
        </w:rPr>
      </w:pPr>
      <w:r>
        <w:rPr>
          <w:rFonts w:ascii="Calibri" w:hAnsi="Calibri" w:eastAsia="Calibri" w:cs="Calibri"/>
          <w:b/>
          <w:sz w:val="22"/>
          <w:szCs w:val="22"/>
        </w:rPr>
        <w:t xml:space="preserve">Associate Partner (Joint Award)</w:t>
      </w:r>
    </w:p>
    <w:p>
      <w:pPr>
        <w:spacing w:line="240" w:lineRule="auto"/>
        <w:jc w:val="both"/>
        <w:rPr>
          <w:rFonts w:ascii="Calibri" w:hAnsi="Calibri" w:eastAsia="Calibri" w:cs="Arial"/>
          <w:sz w:val="22"/>
          <w:szCs w:val="22"/>
        </w:rPr>
      </w:pPr>
      <w:r>
        <w:rPr>
          <w:rFonts w:ascii="Calibri" w:hAnsi="Calibri" w:eastAsia="Calibri" w:cs="Calibri"/>
          <w:sz w:val="22"/>
          <w:szCs w:val="22"/>
        </w:rPr>
        <w:t xml:space="preserve">These partnerships enable a programme of study to be jointly designed and delivered by the University and the Partner(s), leading to students gaining a single, jointly awarded certificate. Joint awards </w:t>
      </w:r>
      <w:r>
        <w:rPr>
          <w:rFonts w:ascii="Calibri" w:hAnsi="Calibri" w:eastAsia="Calibri" w:cs="Arial"/>
          <w:sz w:val="22"/>
          <w:szCs w:val="22"/>
        </w:rPr>
        <w:t xml:space="preserve">are Academic Collaborative Provision.</w:t>
      </w:r>
    </w:p>
    <w:p>
      <w:pPr>
        <w:spacing w:line="240" w:lineRule="auto"/>
        <w:ind w:left="1224"/>
        <w:jc w:val="both"/>
        <w:rPr>
          <w:rFonts w:ascii="Calibri" w:hAnsi="Calibri" w:eastAsia="Calibri" w:cs="Arial"/>
          <w:sz w:val="22"/>
          <w:szCs w:val="22"/>
        </w:rPr>
      </w:pPr>
    </w:p>
    <w:p>
      <w:pPr>
        <w:pStyle w:val="Subtitle"/>
        <w:spacing w:line="240" w:lineRule="auto"/>
        <w:jc w:val="left"/>
        <w:rPr>
          <w:rFonts w:ascii="Calibri" w:hAnsi="Calibri" w:eastAsia="Calibri" w:cs="Arial"/>
          <w:b/>
          <w:sz w:val="22"/>
          <w:szCs w:val="22"/>
        </w:rPr>
      </w:pPr>
      <w:r>
        <w:rPr>
          <w:rFonts w:ascii="Calibri" w:hAnsi="Calibri" w:eastAsia="Calibri" w:cs="Calibri"/>
          <w:b/>
          <w:sz w:val="22"/>
          <w:szCs w:val="22"/>
        </w:rPr>
        <w:t xml:space="preserve">Associate Partner (Dual Award)</w:t>
      </w:r>
    </w:p>
    <w:p>
      <w:pPr>
        <w:spacing w:line="240" w:lineRule="auto"/>
        <w:jc w:val="both"/>
        <w:rPr>
          <w:rFonts w:ascii="Calibri" w:hAnsi="Calibri" w:eastAsia="Calibri" w:cs="Arial"/>
          <w:sz w:val="22"/>
          <w:szCs w:val="22"/>
        </w:rPr>
      </w:pPr>
      <w:r>
        <w:rPr>
          <w:rFonts w:ascii="Calibri" w:hAnsi="Calibri" w:eastAsia="Calibri" w:cs="Arial"/>
          <w:sz w:val="22"/>
          <w:szCs w:val="22"/>
        </w:rPr>
        <w:t xml:space="preserve">These partnerships enable a programme of study to be </w:t>
      </w:r>
      <w:r>
        <w:rPr>
          <w:rFonts w:ascii="Calibri" w:hAnsi="Calibri" w:eastAsia="Calibri" w:cs="Calibri"/>
          <w:sz w:val="22"/>
          <w:szCs w:val="22"/>
        </w:rPr>
        <w:t xml:space="preserve">jointly designed and delivered by the University with the Partner(s), leading to students gaining separate awards from each partner involved.  Dual awards </w:t>
      </w:r>
      <w:r>
        <w:rPr>
          <w:rFonts w:ascii="Calibri" w:hAnsi="Calibri" w:eastAsia="Calibri" w:cs="Arial"/>
          <w:sz w:val="22"/>
          <w:szCs w:val="22"/>
        </w:rPr>
        <w:t xml:space="preserve">are Academic Collaborative Provision.</w:t>
      </w:r>
    </w:p>
    <w:p>
      <w:pPr>
        <w:spacing w:line="240" w:lineRule="auto"/>
        <w:ind w:left="1224"/>
        <w:rPr>
          <w:rFonts w:ascii="Calibri" w:hAnsi="Calibri" w:eastAsia="Calibri" w:cs="Arial"/>
          <w:sz w:val="22"/>
          <w:szCs w:val="22"/>
        </w:rPr>
      </w:pPr>
    </w:p>
    <w:p>
      <w:pPr>
        <w:pStyle w:val="Subtitle"/>
        <w:spacing w:line="240" w:lineRule="auto"/>
        <w:jc w:val="left"/>
        <w:rPr>
          <w:rFonts w:ascii="Calibri" w:hAnsi="Calibri" w:eastAsia="Calibri" w:cs="Calibri"/>
          <w:b/>
          <w:sz w:val="22"/>
          <w:szCs w:val="22"/>
        </w:rPr>
      </w:pPr>
      <w:r>
        <w:rPr>
          <w:rFonts w:ascii="Calibri" w:hAnsi="Calibri" w:eastAsia="Calibri" w:cs="Calibri"/>
          <w:b/>
          <w:sz w:val="22"/>
          <w:szCs w:val="22"/>
        </w:rPr>
        <w:t xml:space="preserve">Associate Partner (School Direct)</w:t>
      </w:r>
    </w:p>
    <w:p>
      <w:pPr>
        <w:spacing w:line="240" w:lineRule="auto"/>
        <w:jc w:val="both"/>
        <w:rPr>
          <w:rFonts w:ascii="Calibri" w:hAnsi="Calibri" w:eastAsia="Calibri" w:cs="Arial"/>
          <w:sz w:val="22"/>
          <w:szCs w:val="22"/>
        </w:rPr>
      </w:pPr>
      <w:r>
        <w:rPr>
          <w:rFonts w:ascii="Calibri" w:hAnsi="Calibri" w:eastAsia="Calibri" w:cs="Arial"/>
          <w:sz w:val="22"/>
          <w:szCs w:val="22"/>
        </w:rPr>
        <w:t xml:space="preserve">The University has a number of models of working with School Direct.  Associate Partner (School Direct) is the model that falls under the category of Academic Collaborative Provision, enabling a school that has secured student numbers from the </w:t>
      </w:r>
      <w:r>
        <w:rPr>
          <w:rFonts w:ascii="Calibri" w:hAnsi="Calibri" w:eastAsia="Calibri" w:cs="Tahoma"/>
          <w:sz w:val="22"/>
          <w:szCs w:val="22"/>
        </w:rPr>
        <w:t xml:space="preserve">National College for Teaching and Leadership </w:t>
      </w:r>
      <w:r>
        <w:rPr>
          <w:rFonts w:ascii="Calibri" w:hAnsi="Calibri" w:eastAsia="Calibri" w:cs="Arial"/>
          <w:sz w:val="22"/>
          <w:szCs w:val="22"/>
        </w:rPr>
        <w:t xml:space="preserve">to works with the University to offer a school-based PGCE programme through its own alliance. </w:t>
      </w:r>
      <w:r>
        <w:rPr>
          <w:rFonts w:ascii="Calibri" w:hAnsi="Calibri" w:eastAsia="Calibri" w:cs="Arial"/>
          <w:sz w:val="22"/>
          <w:szCs w:val="22"/>
        </w:rPr>
        <w:t xml:space="preserve">Associate Partner</w:t>
      </w:r>
      <w:r>
        <w:rPr>
          <w:rFonts w:ascii="Calibri" w:hAnsi="Calibri" w:eastAsia="Calibri" w:cs="Arial"/>
          <w:sz w:val="22"/>
          <w:szCs w:val="22"/>
        </w:rPr>
        <w:t xml:space="preserve">s</w:t>
      </w:r>
      <w:r>
        <w:rPr>
          <w:rFonts w:ascii="Calibri" w:hAnsi="Calibri" w:eastAsia="Calibri" w:cs="Arial"/>
          <w:sz w:val="22"/>
          <w:szCs w:val="22"/>
        </w:rPr>
        <w:t xml:space="preserve"> (School Direct)</w:t>
      </w:r>
      <w:r>
        <w:rPr>
          <w:rFonts w:ascii="Calibri" w:hAnsi="Calibri" w:eastAsia="Calibri" w:cs="Arial"/>
          <w:sz w:val="22"/>
          <w:szCs w:val="22"/>
        </w:rPr>
        <w:t xml:space="preserve"> </w:t>
      </w:r>
      <w:r>
        <w:rPr>
          <w:rFonts w:ascii="Calibri" w:hAnsi="Calibri" w:eastAsia="Calibri" w:cs="Arial"/>
          <w:sz w:val="22"/>
          <w:szCs w:val="22"/>
        </w:rPr>
        <w:t xml:space="preserve">are Academic Collaborative Provision.</w:t>
      </w:r>
    </w:p>
    <w:p>
      <w:pPr>
        <w:spacing w:line="240" w:lineRule="auto"/>
        <w:jc w:val="both"/>
        <w:rPr>
          <w:rFonts w:ascii="Calibri" w:hAnsi="Calibri" w:eastAsia="Calibri" w:cs="Arial"/>
          <w:sz w:val="22"/>
          <w:szCs w:val="22"/>
        </w:rPr>
      </w:pPr>
    </w:p>
    <w:p>
      <w:pPr>
        <w:pStyle w:val="Subtitle"/>
        <w:spacing w:line="240" w:lineRule="auto"/>
        <w:jc w:val="left"/>
        <w:rPr>
          <w:rFonts w:ascii="Calibri" w:hAnsi="Calibri" w:eastAsia="Calibri" w:cs="Calibri"/>
          <w:b/>
          <w:sz w:val="22"/>
          <w:szCs w:val="22"/>
        </w:rPr>
      </w:pPr>
      <w:r>
        <w:rPr>
          <w:rFonts w:ascii="Calibri" w:hAnsi="Calibri" w:eastAsia="Calibri" w:cs="Calibri"/>
          <w:b/>
          <w:sz w:val="22"/>
          <w:szCs w:val="22"/>
        </w:rPr>
        <w:t xml:space="preserve">Associate Partner (SCITT)</w:t>
      </w:r>
    </w:p>
    <w:p>
      <w:pPr>
        <w:spacing w:line="240" w:lineRule="auto"/>
        <w:jc w:val="both"/>
        <w:rPr>
          <w:rFonts w:ascii="Calibri" w:hAnsi="Calibri" w:eastAsia="Calibri" w:cs="Arial"/>
          <w:sz w:val="22"/>
          <w:szCs w:val="22"/>
        </w:rPr>
      </w:pPr>
      <w:r>
        <w:rPr>
          <w:rFonts w:ascii="Calibri" w:hAnsi="Calibri" w:eastAsia="Calibri" w:cs="Calibri"/>
          <w:sz w:val="22"/>
          <w:szCs w:val="22"/>
        </w:rPr>
        <w:t xml:space="preserve">Associate Partner (SCITT) is a mixture of Associate Partners (Institutional and School Direct) and so is categorised differently to reflect this.  A School Centred Initial Teaching Training (SCITT) is a consortium of schools and/or colleges that is accredited to recommend Qualified to Teach Status (QTS).  </w:t>
      </w:r>
      <w:r>
        <w:rPr>
          <w:rFonts w:ascii="Calibri" w:hAnsi="Calibri" w:eastAsia="Calibri" w:cs="Arial"/>
          <w:sz w:val="22"/>
          <w:szCs w:val="22"/>
        </w:rPr>
        <w:t xml:space="preserve">Associate Partners (SCITT) are Academic Collaborative Provision.</w:t>
      </w:r>
    </w:p>
    <w:p>
      <w:pPr>
        <w:spacing w:line="240" w:lineRule="auto"/>
        <w:ind w:left="792"/>
        <w:rPr>
          <w:rFonts w:ascii="Calibri" w:hAnsi="Calibri" w:eastAsia="Calibri" w:cs="Calibri"/>
          <w:sz w:val="22"/>
          <w:szCs w:val="22"/>
        </w:rPr>
      </w:pPr>
    </w:p>
    <w:p>
      <w:pPr>
        <w:pStyle w:val="Subtitle"/>
        <w:spacing w:line="240" w:lineRule="auto"/>
        <w:jc w:val="left"/>
        <w:rPr>
          <w:rFonts w:ascii="Calibri" w:hAnsi="Calibri" w:eastAsia="Calibri" w:cs="Calibri"/>
          <w:b/>
          <w:sz w:val="22"/>
          <w:szCs w:val="22"/>
        </w:rPr>
      </w:pPr>
      <w:r>
        <w:rPr>
          <w:rFonts w:ascii="Calibri" w:hAnsi="Calibri" w:eastAsia="Calibri" w:cs="Calibri"/>
          <w:b/>
          <w:sz w:val="22"/>
          <w:szCs w:val="22"/>
        </w:rPr>
        <w:t xml:space="preserve">Associate Partner (Shared Delivery)</w:t>
      </w:r>
    </w:p>
    <w:p>
      <w:pPr>
        <w:spacing w:line="240" w:lineRule="auto"/>
        <w:jc w:val="both"/>
        <w:rPr>
          <w:rFonts w:ascii="Calibri" w:hAnsi="Calibri" w:eastAsia="Calibri" w:cs="Calibri"/>
          <w:sz w:val="22"/>
          <w:szCs w:val="22"/>
        </w:rPr>
      </w:pPr>
      <w:r>
        <w:rPr>
          <w:rFonts w:ascii="Calibri" w:hAnsi="Calibri" w:eastAsia="Calibri" w:cs="Calibri"/>
          <w:sz w:val="22"/>
          <w:szCs w:val="22"/>
        </w:rPr>
        <w:t xml:space="preserve">These partnerships enable the University to enter into arrangements whereby the design and delivery of a programme leading to a University award is shared with another organisation. Associate Partner (Shared Delivery) models are regarded as Academic Collaborative Provision.</w:t>
      </w:r>
    </w:p>
    <w:p>
      <w:pPr>
        <w:pStyle w:val="NoSpacing"/>
        <w:spacing w:line="240" w:lineRule="auto"/>
        <w:rPr>
          <w:rFonts w:ascii="Calibri" w:hAnsi="Calibri" w:eastAsia="Calibri" w:cs="Calibri"/>
          <w:sz w:val="22"/>
          <w:szCs w:val="22"/>
        </w:rPr>
      </w:pPr>
    </w:p>
    <w:p>
      <w:pPr>
        <w:pStyle w:val="Subtitle"/>
        <w:spacing w:line="240" w:lineRule="auto"/>
        <w:jc w:val="left"/>
        <w:rPr>
          <w:rFonts w:ascii="Calibri" w:hAnsi="Calibri" w:eastAsia="Calibri" w:cs="Arial"/>
          <w:b/>
          <w:sz w:val="22"/>
          <w:szCs w:val="22"/>
        </w:rPr>
      </w:pPr>
      <w:r>
        <w:rPr>
          <w:rFonts w:ascii="Calibri" w:hAnsi="Calibri" w:eastAsia="Calibri" w:cs="Arial"/>
          <w:b/>
          <w:sz w:val="22"/>
          <w:szCs w:val="22"/>
        </w:rPr>
        <w:t xml:space="preserve">Articulation Agreement</w:t>
      </w:r>
    </w:p>
    <w:p>
      <w:pPr>
        <w:spacing w:line="240" w:lineRule="auto"/>
        <w:jc w:val="both"/>
        <w:rPr>
          <w:rFonts w:ascii="Calibri" w:hAnsi="Calibri" w:eastAsia="Calibri" w:cs="Arial"/>
          <w:sz w:val="22"/>
          <w:szCs w:val="22"/>
        </w:rPr>
      </w:pPr>
      <w:r>
        <w:rPr>
          <w:rFonts w:ascii="Calibri" w:hAnsi="Calibri" w:eastAsia="Calibri" w:cs="Arial"/>
          <w:sz w:val="22"/>
          <w:szCs w:val="22"/>
        </w:rPr>
        <w:t xml:space="preserve">Articulation is a form of Entry with Advanced Standing.  It is a process whereby all students who satisfy academic criteria from one programme (studied at another organisation) are automatically entitled (on academic grounds) to be admitted with advanced standing to a subsequent stage of a programme at the University. Articulation Arrangements are regarded as Academic Collaborative Provision.</w:t>
      </w:r>
    </w:p>
    <w:p>
      <w:pPr>
        <w:spacing w:line="240" w:lineRule="auto"/>
        <w:ind w:left="792"/>
        <w:jc w:val="both"/>
        <w:rPr>
          <w:rFonts w:ascii="Calibri" w:hAnsi="Calibri" w:eastAsia="Calibri" w:cs="Arial"/>
          <w:sz w:val="22"/>
          <w:szCs w:val="22"/>
        </w:rPr>
      </w:pPr>
    </w:p>
    <w:p>
      <w:pPr>
        <w:pStyle w:val="Subtitle"/>
        <w:spacing w:line="240" w:lineRule="auto"/>
        <w:jc w:val="left"/>
        <w:rPr>
          <w:rFonts w:ascii="Calibri" w:hAnsi="Calibri" w:eastAsia="Calibri" w:cs="Calibri"/>
          <w:b/>
          <w:sz w:val="22"/>
          <w:szCs w:val="22"/>
        </w:rPr>
      </w:pPr>
      <w:r>
        <w:rPr>
          <w:rFonts w:ascii="Calibri" w:hAnsi="Calibri" w:eastAsia="Calibri" w:cs="Calibri"/>
          <w:b/>
          <w:sz w:val="22"/>
          <w:szCs w:val="22"/>
        </w:rPr>
        <w:t xml:space="preserve">Guaranteed Progression</w:t>
      </w:r>
    </w:p>
    <w:p>
      <w:pPr>
        <w:spacing w:line="240" w:lineRule="auto"/>
        <w:jc w:val="both"/>
        <w:rPr>
          <w:rFonts w:ascii="Calibri" w:hAnsi="Calibri" w:eastAsia="Calibri" w:cs="Calibri"/>
          <w:sz w:val="22"/>
          <w:szCs w:val="22"/>
        </w:rPr>
      </w:pPr>
      <w:r>
        <w:rPr>
          <w:rFonts w:ascii="Calibri" w:hAnsi="Calibri" w:eastAsia="Calibri" w:cs="Calibri"/>
          <w:sz w:val="22"/>
          <w:szCs w:val="22"/>
        </w:rPr>
        <w:t xml:space="preserve">Guaranteed Progression is an arrangement whereby a student completing an agreed programme of study to an agreed level of achievement at another organisation is guaranteed a place on a particular University programme.  </w:t>
      </w:r>
    </w:p>
    <w:p>
      <w:pPr>
        <w:spacing w:line="240" w:lineRule="auto"/>
        <w:ind w:left="792"/>
        <w:jc w:val="both"/>
        <w:rPr>
          <w:rFonts w:ascii="Calibri" w:hAnsi="Calibri" w:eastAsia="Calibri" w:cs="Calibri"/>
          <w:sz w:val="22"/>
          <w:szCs w:val="22"/>
        </w:rPr>
      </w:pPr>
    </w:p>
    <w:p>
      <w:pPr>
        <w:spacing w:line="240" w:lineRule="auto"/>
        <w:jc w:val="both"/>
        <w:rPr>
          <w:rFonts w:ascii="Calibri" w:hAnsi="Calibri" w:eastAsia="Calibri" w:cs="Calibri"/>
          <w:sz w:val="22"/>
          <w:szCs w:val="22"/>
        </w:rPr>
      </w:pPr>
      <w:r>
        <w:rPr>
          <w:rFonts w:ascii="Calibri" w:hAnsi="Calibri" w:eastAsia="Calibri" w:cs="Calibri"/>
          <w:sz w:val="22"/>
          <w:szCs w:val="22"/>
        </w:rPr>
        <w:t xml:space="preserve">A Guaranteed Progression arrangement does not recognise credit.  However, it is engaging in significant partnership activity which may be used by the other organisation in its own promotional materials.  For this reason, Guaranteed Progression is regarded as Academic Collaborative Provision.  </w:t>
      </w:r>
    </w:p>
    <w:p>
      <w:pPr>
        <w:spacing w:line="240" w:lineRule="auto"/>
        <w:rPr>
          <w:rFonts w:ascii="Calibri" w:hAnsi="Calibri" w:eastAsia="Calibri" w:cs="Arial"/>
          <w:sz w:val="22"/>
          <w:szCs w:val="22"/>
        </w:rPr>
      </w:pPr>
    </w:p>
    <w:p>
      <w:pPr>
        <w:pStyle w:val="Subtitle"/>
        <w:spacing w:line="240" w:lineRule="auto"/>
        <w:jc w:val="left"/>
        <w:rPr>
          <w:rFonts w:ascii="Calibri" w:hAnsi="Calibri" w:eastAsia="Calibri" w:cs="Arial"/>
          <w:b/>
          <w:sz w:val="22"/>
          <w:szCs w:val="22"/>
        </w:rPr>
      </w:pPr>
      <w:r>
        <w:rPr>
          <w:rFonts w:ascii="Calibri" w:hAnsi="Calibri" w:eastAsia="Calibri" w:cs="Arial"/>
          <w:b/>
          <w:sz w:val="22"/>
          <w:szCs w:val="22"/>
        </w:rPr>
        <w:t xml:space="preserve">Flying Faculty</w:t>
      </w:r>
    </w:p>
    <w:p>
      <w:pPr>
        <w:spacing w:line="240" w:lineRule="auto"/>
        <w:jc w:val="both"/>
        <w:rPr>
          <w:rFonts w:ascii="Calibri" w:hAnsi="Calibri" w:eastAsia="Calibri" w:cs="Arial"/>
          <w:sz w:val="22"/>
          <w:szCs w:val="22"/>
        </w:rPr>
      </w:pPr>
      <w:r>
        <w:rPr>
          <w:rFonts w:ascii="Calibri" w:hAnsi="Calibri" w:eastAsia="Calibri" w:cs="Arial"/>
          <w:sz w:val="22"/>
          <w:szCs w:val="22"/>
        </w:rPr>
        <w:t xml:space="preserve">Flying Faculty is an arrangement whereby a University programme (or substantial part) is delivered by University staff in an overseas venue (not a University premises).</w:t>
      </w:r>
      <w:r>
        <w:rPr>
          <w:rFonts w:ascii="Calibri" w:hAnsi="Calibri" w:eastAsia="Calibri" w:cs="Calibri"/>
          <w:sz w:val="22"/>
          <w:szCs w:val="22"/>
        </w:rPr>
        <w:t xml:space="preserve"> F</w:t>
      </w:r>
      <w:r>
        <w:rPr>
          <w:rFonts w:ascii="Calibri" w:hAnsi="Calibri" w:eastAsia="Calibri" w:cs="Arial"/>
          <w:sz w:val="22"/>
          <w:szCs w:val="22"/>
        </w:rPr>
        <w:t xml:space="preserve">lying Faculty is defined separately to UK-based Offsite Delivery and is regarded as Academic Collaborative Provision. </w:t>
      </w:r>
    </w:p>
    <w:p>
      <w:pPr>
        <w:spacing w:line="240" w:lineRule="auto"/>
        <w:jc w:val="both"/>
        <w:rPr>
          <w:rFonts w:ascii="Calibri" w:hAnsi="Calibri" w:eastAsia="Calibri" w:cs="Tahoma"/>
          <w:b/>
          <w:bCs/>
          <w:sz w:val="22"/>
          <w:szCs w:val="22"/>
        </w:rPr>
      </w:pPr>
      <w:r>
        <w:rPr/>
        <w:br w:type="page"/>
      </w:r>
      <w:r>
        <w:rPr>
          <w:rFonts w:ascii="Calibri" w:hAnsi="Calibri" w:eastAsia="Calibri" w:cs="Arial"/>
          <w:b/>
          <w:sz w:val="22"/>
          <w:szCs w:val="22"/>
        </w:rPr>
        <w:t xml:space="preserve">Appendix 2: </w:t>
      </w:r>
      <w:r>
        <w:rPr>
          <w:rFonts w:ascii="Calibri" w:hAnsi="Calibri" w:eastAsia="Calibri" w:cs="Tahoma"/>
          <w:b/>
          <w:bCs/>
          <w:sz w:val="22"/>
          <w:szCs w:val="22"/>
        </w:rPr>
        <w:t xml:space="preserve">Core Principles</w:t>
      </w:r>
    </w:p>
    <w:p>
      <w:pPr>
        <w:spacing w:line="240" w:lineRule="auto"/>
        <w:rPr>
          <w:rFonts w:ascii="Calibri" w:hAnsi="Calibri" w:eastAsia="Calibri" w:cs="Tahoma"/>
          <w:bCs/>
          <w:sz w:val="22"/>
          <w:szCs w:val="22"/>
        </w:rPr>
      </w:pPr>
    </w:p>
    <w:p>
      <w:pPr>
        <w:spacing w:line="240" w:lineRule="auto"/>
        <w:rPr>
          <w:rFonts w:ascii="Calibri" w:hAnsi="Calibri" w:eastAsia="Calibri" w:cs="Tahoma"/>
          <w:bCs/>
          <w:sz w:val="22"/>
          <w:szCs w:val="22"/>
        </w:rPr>
      </w:pPr>
      <w:r>
        <w:rPr>
          <w:rFonts w:ascii="Calibri" w:hAnsi="Calibri" w:eastAsia="Calibri" w:cs="Tahoma"/>
          <w:bCs/>
          <w:sz w:val="22"/>
          <w:szCs w:val="22"/>
        </w:rPr>
        <w:t xml:space="preserve">The University has adopted the following core principles for its </w:t>
      </w:r>
      <w:r>
        <w:rPr>
          <w:rFonts w:ascii="Calibri" w:hAnsi="Calibri" w:eastAsia="Calibri" w:cs="Tahoma"/>
          <w:bCs/>
          <w:sz w:val="22"/>
          <w:szCs w:val="22"/>
        </w:rPr>
        <w:t xml:space="preserve">A</w:t>
      </w:r>
      <w:r>
        <w:rPr>
          <w:rFonts w:ascii="Calibri" w:hAnsi="Calibri" w:eastAsia="Calibri" w:cs="Tahoma"/>
          <w:bCs/>
          <w:sz w:val="22"/>
          <w:szCs w:val="22"/>
        </w:rPr>
        <w:t xml:space="preserve">cademic </w:t>
      </w:r>
      <w:r>
        <w:rPr>
          <w:rFonts w:ascii="Calibri" w:hAnsi="Calibri" w:eastAsia="Calibri" w:cs="Tahoma"/>
          <w:bCs/>
          <w:sz w:val="22"/>
          <w:szCs w:val="22"/>
        </w:rPr>
        <w:t xml:space="preserve">Collaborative Provision Partnerships</w:t>
      </w:r>
      <w:r>
        <w:rPr>
          <w:rFonts w:ascii="Calibri" w:hAnsi="Calibri" w:eastAsia="Calibri" w:cs="Tahoma"/>
          <w:bCs/>
          <w:sz w:val="22"/>
          <w:szCs w:val="22"/>
        </w:rPr>
        <w:t xml:space="preserve">:</w:t>
      </w:r>
    </w:p>
    <w:p>
      <w:pPr>
        <w:spacing w:line="240" w:lineRule="auto"/>
        <w:rPr>
          <w:rFonts w:ascii="Calibri" w:hAnsi="Calibri" w:eastAsia="Calibri" w:cs="Tahoma"/>
          <w:bCs/>
          <w:sz w:val="22"/>
          <w:szCs w:val="22"/>
        </w:rPr>
      </w:pPr>
    </w:p>
    <w:p>
      <w:pPr>
        <w:pStyle w:val="NoSpacing"/>
        <w:numPr>
          <w:ilvl w:val="0"/>
          <w:numId w:val="3"/>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University will pursue opportunities for ACP where:</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offers the opportunity for net income contribution</w:t>
      </w:r>
      <w:r>
        <w:rPr>
          <w:rFonts w:ascii="Calibri" w:hAnsi="Calibri" w:eastAsia="Calibri" w:cs="Calibri"/>
          <w:sz w:val="22"/>
          <w:szCs w:val="22"/>
        </w:rPr>
        <w:t xml:space="preserve"> within an agreed timescale</w:t>
      </w:r>
      <w:r>
        <w:rPr>
          <w:rFonts w:ascii="Calibri" w:hAnsi="Calibri" w:eastAsia="Calibri" w:cs="Calibri"/>
          <w:sz w:val="22"/>
          <w:szCs w:val="22"/>
        </w:rPr>
        <w:t xml:space="preserve">; and </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enables an increase in educational or vocational learning opportunities within </w:t>
      </w:r>
      <w:r>
        <w:rPr>
          <w:rFonts w:ascii="Calibri" w:hAnsi="Calibri" w:eastAsia="Calibri" w:cs="Calibri"/>
          <w:sz w:val="22"/>
          <w:szCs w:val="22"/>
        </w:rPr>
        <w:t xml:space="preserve">the Region</w:t>
      </w:r>
      <w:r>
        <w:rPr>
          <w:rFonts w:ascii="Calibri" w:hAnsi="Calibri" w:eastAsia="Calibri" w:cs="Calibri"/>
          <w:sz w:val="22"/>
          <w:szCs w:val="22"/>
        </w:rPr>
        <w:t xml:space="preserve">; or</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w:t>
      </w:r>
      <w:r>
        <w:rPr>
          <w:rFonts w:ascii="Calibri" w:hAnsi="Calibri" w:eastAsia="Calibri" w:cs="Calibri"/>
          <w:sz w:val="22"/>
          <w:szCs w:val="22"/>
        </w:rPr>
        <w:t xml:space="preserve"> arrangement enables the University to develop niche national and international activity which reflects its expertise; or </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enables progression to a University of Cumbria Award; or</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adds to the expertise or capacity of the University to deliver its core curriculum; or</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adds to the academic reputation of the University; or</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makes a demonstrable contribution to social or economic well-being within Cumbria</w:t>
      </w:r>
      <w:r>
        <w:rPr>
          <w:rFonts w:ascii="Calibri" w:hAnsi="Calibri" w:eastAsia="Calibri" w:cs="Calibri"/>
          <w:sz w:val="22"/>
          <w:szCs w:val="22"/>
        </w:rPr>
        <w:t xml:space="preserve"> and the Region</w:t>
      </w:r>
      <w:r>
        <w:rPr>
          <w:rFonts w:ascii="Calibri" w:hAnsi="Calibri" w:eastAsia="Calibri" w:cs="Calibri"/>
          <w:sz w:val="22"/>
          <w:szCs w:val="22"/>
        </w:rPr>
        <w:t xml:space="preserve">; or</w:t>
      </w:r>
    </w:p>
    <w:p>
      <w:pPr>
        <w:pStyle w:val="NoSpacing"/>
        <w:numPr>
          <w:ilvl w:val="0"/>
          <w:numId w:val="14"/>
        </w:numPr>
        <w:spacing w:line="240" w:lineRule="auto"/>
        <w:jc w:val="both"/>
        <w:rPr>
          <w:rFonts w:ascii="Calibri" w:hAnsi="Calibri" w:eastAsia="Calibri" w:cs="Calibri"/>
          <w:sz w:val="22"/>
          <w:szCs w:val="22"/>
        </w:rPr>
      </w:pPr>
      <w:r>
        <w:rPr>
          <w:rFonts w:ascii="Calibri" w:hAnsi="Calibri" w:eastAsia="Calibri" w:cs="Calibri"/>
          <w:sz w:val="22"/>
          <w:szCs w:val="22"/>
        </w:rPr>
        <w:t xml:space="preserve">the arrangement contributes to the internationalisation of the University</w:t>
      </w:r>
    </w:p>
    <w:p>
      <w:pPr>
        <w:spacing w:line="240" w:lineRule="auto"/>
        <w:jc w:val="both"/>
        <w:rPr>
          <w:rFonts w:ascii="Calibri" w:hAnsi="Calibri" w:eastAsia="Calibri" w:cs="Calibri"/>
          <w:sz w:val="22"/>
          <w:szCs w:val="22"/>
        </w:rPr>
      </w:pPr>
    </w:p>
    <w:p>
      <w:pPr>
        <w:numPr>
          <w:ilvl w:val="0"/>
          <w:numId w:val="3"/>
        </w:numPr>
        <w:spacing w:line="240" w:lineRule="auto"/>
        <w:jc w:val="both"/>
        <w:rPr>
          <w:rFonts w:ascii="Calibri" w:hAnsi="Calibri" w:eastAsia="Calibri" w:cs="Calibri"/>
          <w:sz w:val="22"/>
          <w:szCs w:val="22"/>
        </w:rPr>
      </w:pPr>
      <w:r>
        <w:rPr>
          <w:rFonts w:ascii="Calibri" w:hAnsi="Calibri" w:eastAsia="Calibri" w:cs="Tahoma"/>
          <w:bCs/>
          <w:sz w:val="22"/>
          <w:szCs w:val="22"/>
        </w:rPr>
        <w:t xml:space="preserve">In developing any ACP the University will always assure itself that: </w:t>
      </w:r>
    </w:p>
    <w:p>
      <w:pPr>
        <w:numPr>
          <w:ilvl w:val="0"/>
          <w:numId w:val="15"/>
        </w:numPr>
        <w:spacing w:line="240" w:lineRule="auto"/>
        <w:jc w:val="both"/>
        <w:rPr>
          <w:rFonts w:ascii="Calibri" w:hAnsi="Calibri" w:eastAsia="Calibri" w:cs="Calibri"/>
          <w:sz w:val="22"/>
          <w:szCs w:val="22"/>
        </w:rPr>
      </w:pPr>
      <w:r>
        <w:rPr>
          <w:rFonts w:ascii="Calibri" w:hAnsi="Calibri" w:eastAsia="Calibri" w:cs="Tahoma"/>
          <w:bCs/>
          <w:sz w:val="22"/>
          <w:szCs w:val="22"/>
        </w:rPr>
        <w:t xml:space="preserve">there is a synergy of mission between the University and the proposed partner</w:t>
      </w:r>
    </w:p>
    <w:p>
      <w:pPr>
        <w:numPr>
          <w:ilvl w:val="0"/>
          <w:numId w:val="15"/>
        </w:numPr>
        <w:spacing w:line="240" w:lineRule="auto"/>
        <w:jc w:val="both"/>
        <w:rPr>
          <w:rFonts w:ascii="Calibri" w:hAnsi="Calibri" w:eastAsia="Calibri" w:cs="Calibri"/>
          <w:sz w:val="22"/>
          <w:szCs w:val="22"/>
        </w:rPr>
      </w:pPr>
      <w:r>
        <w:rPr>
          <w:rFonts w:ascii="Calibri" w:hAnsi="Calibri" w:eastAsia="Calibri" w:cs="Tahoma"/>
          <w:bCs/>
          <w:sz w:val="22"/>
          <w:szCs w:val="22"/>
        </w:rPr>
        <w:t xml:space="preserve">there is a solid and sustainable financial and business case for the partnership</w:t>
      </w:r>
    </w:p>
    <w:p>
      <w:pPr>
        <w:numPr>
          <w:ilvl w:val="0"/>
          <w:numId w:val="15"/>
        </w:numPr>
        <w:spacing w:line="240" w:lineRule="auto"/>
        <w:jc w:val="both"/>
        <w:rPr>
          <w:rFonts w:ascii="Calibri" w:hAnsi="Calibri" w:eastAsia="Calibri" w:cs="Calibri"/>
          <w:sz w:val="22"/>
          <w:szCs w:val="22"/>
        </w:rPr>
      </w:pPr>
      <w:r>
        <w:rPr>
          <w:rFonts w:ascii="Calibri" w:hAnsi="Calibri" w:eastAsia="Calibri" w:cs="Tahoma"/>
          <w:bCs/>
          <w:sz w:val="22"/>
          <w:szCs w:val="22"/>
        </w:rPr>
        <w:t xml:space="preserve">That the partner has a strong quality record </w:t>
      </w:r>
    </w:p>
    <w:p>
      <w:pPr>
        <w:numPr>
          <w:ilvl w:val="0"/>
          <w:numId w:val="15"/>
        </w:numPr>
        <w:spacing w:line="240" w:lineRule="auto"/>
        <w:jc w:val="both"/>
        <w:rPr>
          <w:rFonts w:ascii="Calibri" w:hAnsi="Calibri" w:eastAsia="Calibri" w:cs="Calibri"/>
          <w:sz w:val="22"/>
          <w:szCs w:val="22"/>
        </w:rPr>
      </w:pPr>
      <w:r>
        <w:rPr>
          <w:rFonts w:ascii="Calibri" w:hAnsi="Calibri" w:eastAsia="Calibri" w:cs="Tahoma"/>
          <w:bCs/>
          <w:sz w:val="22"/>
          <w:szCs w:val="22"/>
        </w:rPr>
        <w:t xml:space="preserve">That both partners have the capacity to make the partnership work</w:t>
      </w:r>
    </w:p>
    <w:p>
      <w:pPr>
        <w:spacing w:line="240" w:lineRule="auto"/>
        <w:jc w:val="both"/>
        <w:rPr>
          <w:rFonts w:ascii="Calibri" w:hAnsi="Calibri" w:eastAsia="Calibri" w:cs="Tahoma"/>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w:t>
      </w:r>
      <w:r>
        <w:rPr>
          <w:rFonts w:ascii="Calibri" w:hAnsi="Calibri" w:eastAsia="Calibri" w:cs="Tahoma"/>
          <w:sz w:val="22"/>
          <w:szCs w:val="22"/>
        </w:rPr>
        <w:t xml:space="preserve">utilise a clear and robust </w:t>
      </w:r>
      <w:r>
        <w:rPr>
          <w:rFonts w:ascii="Calibri" w:hAnsi="Calibri" w:eastAsia="Calibri" w:cs="Tahoma"/>
          <w:sz w:val="22"/>
          <w:szCs w:val="22"/>
        </w:rPr>
        <w:t xml:space="preserve">due diligence process and consider </w:t>
      </w:r>
      <w:r>
        <w:rPr>
          <w:rFonts w:ascii="Calibri" w:hAnsi="Calibri" w:eastAsia="Calibri" w:cs="Tahoma"/>
          <w:sz w:val="22"/>
          <w:szCs w:val="22"/>
        </w:rPr>
        <w:t xml:space="preserve">the </w:t>
      </w:r>
      <w:r>
        <w:rPr>
          <w:rFonts w:ascii="Calibri" w:hAnsi="Calibri" w:eastAsia="Calibri" w:cs="Tahoma"/>
          <w:sz w:val="22"/>
          <w:szCs w:val="22"/>
        </w:rPr>
        <w:t xml:space="preserve">financial, legal </w:t>
      </w:r>
    </w:p>
    <w:p>
      <w:pPr>
        <w:spacing w:line="240" w:lineRule="auto"/>
        <w:ind w:left="720"/>
        <w:jc w:val="both"/>
        <w:rPr>
          <w:rFonts w:ascii="Calibri" w:hAnsi="Calibri" w:eastAsia="Calibri" w:cs="Tahoma"/>
          <w:sz w:val="22"/>
          <w:szCs w:val="22"/>
        </w:rPr>
      </w:pPr>
      <w:r>
        <w:rPr>
          <w:rFonts w:ascii="Calibri" w:hAnsi="Calibri" w:eastAsia="Calibri" w:cs="Tahoma"/>
          <w:sz w:val="22"/>
          <w:szCs w:val="22"/>
        </w:rPr>
        <w:t xml:space="preserve">and academic issues</w:t>
      </w:r>
      <w:r>
        <w:rPr>
          <w:rFonts w:ascii="Calibri" w:hAnsi="Calibri" w:eastAsia="Calibri" w:cs="Tahoma"/>
          <w:sz w:val="22"/>
          <w:szCs w:val="22"/>
        </w:rPr>
        <w:t xml:space="preserve"> within any partnership. It will always </w:t>
      </w:r>
      <w:r>
        <w:rPr>
          <w:rFonts w:ascii="Calibri" w:hAnsi="Calibri" w:eastAsia="Calibri" w:cs="Tahoma"/>
          <w:sz w:val="22"/>
          <w:szCs w:val="22"/>
        </w:rPr>
        <w:t xml:space="preserve">ensure that financial considerations never override academic quality</w:t>
      </w:r>
      <w:r>
        <w:rPr>
          <w:rFonts w:ascii="Calibri" w:hAnsi="Calibri" w:eastAsia="Calibri" w:cs="Tahoma"/>
          <w:sz w:val="22"/>
          <w:szCs w:val="22"/>
        </w:rPr>
        <w:t xml:space="preserve">.</w:t>
      </w:r>
    </w:p>
    <w:p>
      <w:pPr>
        <w:spacing w:line="240" w:lineRule="auto"/>
        <w:jc w:val="both"/>
        <w:rPr>
          <w:rFonts w:ascii="Calibri" w:hAnsi="Calibri" w:eastAsia="Calibri" w:cs="Tahoma"/>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w:t>
      </w:r>
      <w:r>
        <w:rPr>
          <w:rFonts w:ascii="Calibri" w:hAnsi="Calibri" w:eastAsia="Calibri" w:cs="Tahoma"/>
          <w:sz w:val="22"/>
          <w:szCs w:val="22"/>
        </w:rPr>
        <w:t xml:space="preserve">work with </w:t>
      </w:r>
      <w:r>
        <w:rPr>
          <w:rFonts w:ascii="Calibri" w:hAnsi="Calibri" w:eastAsia="Calibri" w:cs="Tahoma"/>
          <w:sz w:val="22"/>
          <w:szCs w:val="22"/>
        </w:rPr>
        <w:t xml:space="preserve">partner organisation</w:t>
      </w:r>
      <w:r>
        <w:rPr>
          <w:rFonts w:ascii="Calibri" w:hAnsi="Calibri" w:eastAsia="Calibri" w:cs="Tahoma"/>
          <w:sz w:val="22"/>
          <w:szCs w:val="22"/>
        </w:rPr>
        <w:t xml:space="preserve">s where their </w:t>
      </w:r>
      <w:r>
        <w:rPr>
          <w:rFonts w:ascii="Calibri" w:hAnsi="Calibri" w:eastAsia="Calibri" w:cs="Tahoma"/>
          <w:sz w:val="22"/>
          <w:szCs w:val="22"/>
        </w:rPr>
        <w:t xml:space="preserve">educational objectives are compatible with those of UoC</w:t>
      </w:r>
    </w:p>
    <w:p>
      <w:pPr>
        <w:spacing w:line="240" w:lineRule="auto"/>
        <w:jc w:val="both"/>
        <w:rPr>
          <w:rFonts w:ascii="Calibri" w:hAnsi="Calibri" w:eastAsia="Calibri" w:cs="Tahoma"/>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consider new Direct Funding and Full Cost relationships (dependent upon impact on UoC SNC) but will not </w:t>
      </w:r>
      <w:r>
        <w:rPr>
          <w:rFonts w:ascii="Calibri" w:hAnsi="Calibri" w:eastAsia="Calibri" w:cs="Tahoma"/>
          <w:sz w:val="22"/>
          <w:szCs w:val="22"/>
        </w:rPr>
        <w:t xml:space="preserve">normally ‘</w:t>
      </w:r>
      <w:r>
        <w:rPr>
          <w:rFonts w:ascii="Calibri" w:hAnsi="Calibri" w:eastAsia="Calibri" w:cs="Tahoma"/>
          <w:sz w:val="22"/>
          <w:szCs w:val="22"/>
        </w:rPr>
        <w:t xml:space="preserve">franchise</w:t>
      </w:r>
      <w:r>
        <w:rPr>
          <w:rFonts w:ascii="Calibri" w:hAnsi="Calibri" w:eastAsia="Calibri" w:cs="Tahoma"/>
          <w:sz w:val="22"/>
          <w:szCs w:val="22"/>
        </w:rPr>
        <w:t xml:space="preserve">’</w:t>
      </w:r>
      <w:r>
        <w:rPr>
          <w:rFonts w:ascii="Calibri" w:hAnsi="Calibri" w:eastAsia="Calibri" w:cs="Tahoma"/>
          <w:sz w:val="22"/>
          <w:szCs w:val="22"/>
        </w:rPr>
        <w:t xml:space="preserve"> any further UoC SNC numbers </w:t>
      </w:r>
    </w:p>
    <w:p>
      <w:pPr>
        <w:spacing w:line="240" w:lineRule="auto"/>
        <w:jc w:val="both"/>
        <w:rPr>
          <w:rFonts w:ascii="Calibri" w:hAnsi="Calibri" w:eastAsia="Calibri" w:cs="Tahoma"/>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not normally validate a programme which directly competes with provision in a geographical or subject area where a relevant offer is already delivered/ supported by the University.</w:t>
      </w:r>
    </w:p>
    <w:p>
      <w:pPr>
        <w:spacing w:line="240" w:lineRule="auto"/>
        <w:jc w:val="both"/>
        <w:rPr>
          <w:rFonts w:ascii="Calibri" w:hAnsi="Calibri" w:eastAsia="Calibri" w:cs="Tahoma"/>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w:t>
      </w:r>
      <w:r>
        <w:rPr>
          <w:rFonts w:ascii="Calibri" w:hAnsi="Calibri" w:eastAsia="Calibri" w:cs="Tahoma"/>
          <w:sz w:val="22"/>
          <w:szCs w:val="22"/>
        </w:rPr>
        <w:t xml:space="preserve">consider</w:t>
      </w:r>
      <w:r>
        <w:rPr>
          <w:rFonts w:ascii="Calibri" w:hAnsi="Calibri" w:eastAsia="Calibri" w:cs="Tahoma"/>
          <w:sz w:val="22"/>
          <w:szCs w:val="22"/>
        </w:rPr>
        <w:t xml:space="preserve"> proposals in subject areas for which it has academic expertise and an appropriate and academically relevant ‘home’ that can support and manage the partnership. It may consider requests/ opportunities outside of this when the University is able to secure such academic expertise. </w:t>
      </w:r>
    </w:p>
    <w:p>
      <w:pPr>
        <w:spacing w:line="240" w:lineRule="auto"/>
        <w:jc w:val="both"/>
        <w:rPr>
          <w:rFonts w:ascii="Calibri" w:hAnsi="Calibri" w:eastAsia="Calibri" w:cs="Tahoma"/>
          <w:color w:val="FF0000"/>
          <w:sz w:val="22"/>
          <w:szCs w:val="22"/>
          <w:lang w:eastAsia="en-US"/>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work, but not exclusively, to develop ACP partnerships which lead to students progressing to a UoC award or UoC delivery of the final level(s) of a UoC award.</w:t>
      </w:r>
    </w:p>
    <w:p>
      <w:pPr>
        <w:pStyle w:val="ListParagraph"/>
        <w:spacing w:line="240" w:lineRule="auto"/>
        <w:rPr>
          <w:rFonts w:ascii="Calibri" w:hAnsi="Calibri" w:eastAsia="Calibri" w:cs="Tahoma"/>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sz w:val="22"/>
          <w:szCs w:val="22"/>
        </w:rPr>
        <w:t xml:space="preserve">The University will </w:t>
      </w:r>
      <w:r>
        <w:rPr>
          <w:rFonts w:ascii="Calibri" w:hAnsi="Calibri" w:eastAsia="Calibri" w:cs="Tahoma"/>
          <w:bCs/>
          <w:sz w:val="22"/>
          <w:szCs w:val="22"/>
        </w:rPr>
        <w:t xml:space="preserve">work to develop ACP partnerships which offer the potential for multi-disciplinary and multi-faceted activities to develop and consolidate its international and European partnerships wherever possible based on geographical clustering</w:t>
      </w:r>
    </w:p>
    <w:p>
      <w:pPr>
        <w:pStyle w:val="ListParagraph"/>
        <w:spacing w:line="240" w:lineRule="auto"/>
        <w:rPr>
          <w:rFonts w:ascii="Calibri" w:hAnsi="Calibri" w:eastAsia="Times New Roman" w:cs="Calibri"/>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Calibri"/>
          <w:sz w:val="22"/>
          <w:szCs w:val="22"/>
        </w:rPr>
        <w:t xml:space="preserve">The University will develop models of ACP with a partner which are commensurate with the status of the partner, the longevity of the partnership, the HE experience and capacity of the partner and the ability of both partners to mitigate any risks associated with the proposed model.</w:t>
      </w:r>
    </w:p>
    <w:p>
      <w:pPr>
        <w:pStyle w:val="ListParagraph"/>
        <w:spacing w:line="240" w:lineRule="auto"/>
        <w:rPr>
          <w:rFonts w:ascii="Calibri" w:hAnsi="Calibri" w:eastAsia="Times New Roman" w:cs="Tahoma"/>
          <w:bCs/>
          <w:sz w:val="22"/>
          <w:szCs w:val="22"/>
        </w:rPr>
      </w:pPr>
    </w:p>
    <w:p>
      <w:pPr>
        <w:numPr>
          <w:ilvl w:val="0"/>
          <w:numId w:val="3"/>
        </w:numPr>
        <w:spacing w:line="240" w:lineRule="auto"/>
        <w:jc w:val="both"/>
        <w:rPr>
          <w:rFonts w:ascii="Calibri" w:hAnsi="Calibri" w:eastAsia="Calibri" w:cs="Tahoma"/>
          <w:sz w:val="22"/>
          <w:szCs w:val="22"/>
        </w:rPr>
      </w:pPr>
      <w:r>
        <w:rPr>
          <w:rFonts w:ascii="Calibri" w:hAnsi="Calibri" w:eastAsia="Calibri" w:cs="Tahoma"/>
          <w:bCs/>
          <w:sz w:val="22"/>
          <w:szCs w:val="22"/>
        </w:rPr>
        <w:t xml:space="preserve">The University will never use its CAS allocation for a partner.</w:t>
      </w:r>
    </w:p>
    <w:sectPr>
      <w:headerReference w:type="first" r:id="rId4"/>
      <w:footerReference w:type="first" r:id="rId5"/>
      <w:headerReference w:type="even" r:id="rId6"/>
      <w:footerReference w:type="even" r:id="rId7"/>
      <w:headerReference w:type="default" r:id="rId8"/>
      <w:footerReference w:type="default" r:id="rId9"/>
      <w:type w:val="nextPage"/>
      <w:pgSz w:w="11906" w:h="16838"/>
      <w:pgMar w:top="720" w:right="720" w:bottom="720" w:left="720" w:header="709" w:footer="70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1"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02FF" w:usb1="4000ACFF" w:usb2="00000001" w:usb3="00000000" w:csb0="0000019F" w:csb1="00000000"/>
  </w:font>
  <w:font w:name="Verdana">
    <w:charset w:val="0"/>
    <w:family w:val="swiss"/>
    <w:pitch w:val="variable"/>
    <w:sig w:usb0="A10006FF" w:usb1="4000205B" w:usb2="00000010" w:usb3="00000000" w:csb0="0000019F" w:csb1="00000000"/>
  </w:font>
  <w:font w:name="Cambria">
    <w:charset w:val="0"/>
    <w:family w:val="roman"/>
    <w:pitch w:val="variable"/>
    <w:sig w:usb0="E00002FF" w:usb1="400004FF" w:usb2="00000000" w:usb3="00000000" w:csb0="0000019F" w:csb1="00000000"/>
  </w:font>
  <w:font w:name="Tahoma">
    <w:charset w:val="0"/>
    <w:family w:val="swiss"/>
    <w:pitch w:val="variable"/>
    <w:sig w:usb0="00000003" w:usb1="00000000" w:usb2="00000000" w:usb3="00000000" w:csb0="00000001" w:csb1="00000000"/>
  </w:font>
  <w:font w:name="Arial">
    <w:charset w:val="0"/>
    <w:family w:val="swiss"/>
    <w:pitch w:val="variable"/>
    <w:sig w:usb0="E0002AFF" w:usb1="C0007843" w:usb2="00000009" w:usb3="00000000" w:csb0="000001FF" w:csb1="00000000"/>
  </w:font>
</w:fonts>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rPr/>
    </w:pP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rPr/>
    </w:pPr>
  </w:p>
</w:ftr>
</file>

<file path=word/footer9.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jc w:val="center"/>
      <w:rPr/>
    </w:pPr>
    <w:r>
      <w:rPr/>
      <w:fldChar w:fldCharType="begin"/>
    </w:r>
    <w:r>
      <w:rPr/>
      <w:instrText> PAGE   \* MERGEFORMAT </w:instrText>
    </w:r>
    <w:r>
      <w:rPr/>
      <w:fldChar w:fldCharType="separate"/>
    </w:r>
    <w:r>
      <w:rPr>
        <w:noProof/>
      </w:rPr>
      <w:t xml:space="preserve">1</w:t>
    </w:r>
    <w:r>
      <w:rPr/>
      <w:fldChar w:fldCharType="end"/>
    </w:r>
  </w:p>
  <w:p>
    <w:pPr>
      <w:pStyle w:val="Footer"/>
      <w:spacing w:line="240" w:lineRule="auto"/>
      <w:rPr/>
    </w:pPr>
  </w:p>
</w:ft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pPr>
  </w:p>
</w:hdr>
</file>

<file path=word/header8.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5">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8">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0">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2">
    <w:lvl w:ilvl="0">
      <w:start w:val="1"/>
      <w:numFmt w:val="bullet"/>
      <w:suff w:val="tab"/>
      <w:lvlText w:val=""/>
      <w:pPr>
        <w:spacing/>
        <w:ind w:left="1152" w:hanging="360"/>
      </w:pPr>
      <w:rPr>
        <w:rFonts w:ascii="Symbol" w:hAnsi="Symbol" w:eastAsia="Symbol" w:cs="Symbol" w:hint="default"/>
      </w:rPr>
    </w:lvl>
    <w:lvl w:ilvl="1">
      <w:start w:val="1"/>
      <w:numFmt w:val="bullet"/>
      <w:suff w:val="tab"/>
      <w:lvlText w:val="o"/>
      <w:pPr>
        <w:spacing/>
        <w:ind w:left="1872" w:hanging="360"/>
      </w:pPr>
      <w:rPr>
        <w:rFonts w:ascii="Courier New" w:hAnsi="Courier New" w:eastAsia="Courier New" w:cs="Courier New" w:hint="default"/>
      </w:rPr>
    </w:lvl>
    <w:lvl w:ilvl="2">
      <w:start w:val="1"/>
      <w:numFmt w:val="bullet"/>
      <w:suff w:val="tab"/>
      <w:lvlText w:val=""/>
      <w:pPr>
        <w:spacing/>
        <w:ind w:left="2592" w:hanging="360"/>
      </w:pPr>
      <w:rPr>
        <w:rFonts w:ascii="Wingdings" w:hAnsi="Wingdings" w:eastAsia="Wingdings" w:cs="Wingdings" w:hint="default"/>
      </w:rPr>
    </w:lvl>
    <w:lvl w:ilvl="3">
      <w:start w:val="1"/>
      <w:numFmt w:val="bullet"/>
      <w:suff w:val="tab"/>
      <w:lvlText w:val=""/>
      <w:pPr>
        <w:spacing/>
        <w:ind w:left="3312" w:hanging="360"/>
      </w:pPr>
      <w:rPr>
        <w:rFonts w:ascii="Symbol" w:hAnsi="Symbol" w:eastAsia="Symbol" w:cs="Symbol" w:hint="default"/>
      </w:rPr>
    </w:lvl>
    <w:lvl w:ilvl="4">
      <w:start w:val="1"/>
      <w:numFmt w:val="bullet"/>
      <w:suff w:val="tab"/>
      <w:lvlText w:val="o"/>
      <w:pPr>
        <w:spacing/>
        <w:ind w:left="4032" w:hanging="360"/>
      </w:pPr>
      <w:rPr>
        <w:rFonts w:ascii="Courier New" w:hAnsi="Courier New" w:eastAsia="Courier New" w:cs="Courier New" w:hint="default"/>
      </w:rPr>
    </w:lvl>
    <w:lvl w:ilvl="5">
      <w:start w:val="1"/>
      <w:numFmt w:val="bullet"/>
      <w:suff w:val="tab"/>
      <w:lvlText w:val=""/>
      <w:pPr>
        <w:spacing/>
        <w:ind w:left="4752" w:hanging="360"/>
      </w:pPr>
      <w:rPr>
        <w:rFonts w:ascii="Wingdings" w:hAnsi="Wingdings" w:eastAsia="Wingdings" w:cs="Wingdings" w:hint="default"/>
      </w:rPr>
    </w:lvl>
    <w:lvl w:ilvl="6">
      <w:start w:val="1"/>
      <w:numFmt w:val="bullet"/>
      <w:suff w:val="tab"/>
      <w:lvlText w:val=""/>
      <w:pPr>
        <w:spacing/>
        <w:ind w:left="5472" w:hanging="360"/>
      </w:pPr>
      <w:rPr>
        <w:rFonts w:ascii="Symbol" w:hAnsi="Symbol" w:eastAsia="Symbol" w:cs="Symbol" w:hint="default"/>
      </w:rPr>
    </w:lvl>
    <w:lvl w:ilvl="7">
      <w:start w:val="1"/>
      <w:numFmt w:val="bullet"/>
      <w:suff w:val="tab"/>
      <w:lvlText w:val="o"/>
      <w:pPr>
        <w:spacing/>
        <w:ind w:left="6192" w:hanging="360"/>
      </w:pPr>
      <w:rPr>
        <w:rFonts w:ascii="Courier New" w:hAnsi="Courier New" w:eastAsia="Courier New" w:cs="Courier New" w:hint="default"/>
      </w:rPr>
    </w:lvl>
    <w:lvl w:ilvl="8">
      <w:start w:val="1"/>
      <w:numFmt w:val="bullet"/>
      <w:suff w:val="tab"/>
      <w:lvlText w:val=""/>
      <w:pPr>
        <w:spacing/>
        <w:ind w:left="6912" w:hanging="360"/>
      </w:pPr>
      <w:rPr>
        <w:rFonts w:ascii="Wingdings" w:hAnsi="Wingdings" w:eastAsia="Wingdings" w:cs="Wingdings" w:hint="default"/>
      </w:rPr>
    </w:lvl>
  </w:abstractNum>
  <w:abstractNum w:abstractNumId="13">
    <w:lvl w:ilvl="0">
      <w:start w:val="1"/>
      <w:numFmt w:val="bullet"/>
      <w:suff w:val="tab"/>
      <w:lvlText w:val=""/>
      <w:pPr>
        <w:spacing/>
        <w:ind w:left="1080" w:hanging="360"/>
      </w:pPr>
      <w:rPr>
        <w:rFonts w:ascii="Symbol" w:hAnsi="Symbol" w:eastAsia="Symbol" w:cs="Symbol" w:hint="default"/>
      </w:rPr>
    </w:lvl>
    <w:lvl w:ilvl="1">
      <w:start w:val="1"/>
      <w:numFmt w:val="bullet"/>
      <w:suff w:val="tab"/>
      <w:lvlText w:val="o"/>
      <w:pPr>
        <w:spacing/>
        <w:ind w:left="1800" w:hanging="360"/>
      </w:pPr>
      <w:rPr>
        <w:rFonts w:ascii="Courier New" w:hAnsi="Courier New" w:eastAsia="Courier New" w:cs="Courier New" w:hint="default"/>
      </w:rPr>
    </w:lvl>
    <w:lvl w:ilvl="2">
      <w:start w:val="1"/>
      <w:numFmt w:val="bullet"/>
      <w:suff w:val="tab"/>
      <w:lvlText w:val=""/>
      <w:pPr>
        <w:spacing/>
        <w:ind w:left="2520" w:hanging="360"/>
      </w:pPr>
      <w:rPr>
        <w:rFonts w:ascii="Wingdings" w:hAnsi="Wingdings" w:eastAsia="Wingdings" w:cs="Wingdings" w:hint="default"/>
      </w:rPr>
    </w:lvl>
    <w:lvl w:ilvl="3">
      <w:start w:val="1"/>
      <w:numFmt w:val="bullet"/>
      <w:suff w:val="tab"/>
      <w:lvlText w:val=""/>
      <w:pPr>
        <w:spacing/>
        <w:ind w:left="3240" w:hanging="360"/>
      </w:pPr>
      <w:rPr>
        <w:rFonts w:ascii="Symbol" w:hAnsi="Symbol" w:eastAsia="Symbol" w:cs="Symbol" w:hint="default"/>
      </w:rPr>
    </w:lvl>
    <w:lvl w:ilvl="4">
      <w:start w:val="1"/>
      <w:numFmt w:val="bullet"/>
      <w:suff w:val="tab"/>
      <w:lvlText w:val="o"/>
      <w:pPr>
        <w:spacing/>
        <w:ind w:left="3960" w:hanging="360"/>
      </w:pPr>
      <w:rPr>
        <w:rFonts w:ascii="Courier New" w:hAnsi="Courier New" w:eastAsia="Courier New" w:cs="Courier New" w:hint="default"/>
      </w:rPr>
    </w:lvl>
    <w:lvl w:ilvl="5">
      <w:start w:val="1"/>
      <w:numFmt w:val="bullet"/>
      <w:suff w:val="tab"/>
      <w:lvlText w:val=""/>
      <w:pPr>
        <w:spacing/>
        <w:ind w:left="4680" w:hanging="360"/>
      </w:pPr>
      <w:rPr>
        <w:rFonts w:ascii="Wingdings" w:hAnsi="Wingdings" w:eastAsia="Wingdings" w:cs="Wingdings" w:hint="default"/>
      </w:rPr>
    </w:lvl>
    <w:lvl w:ilvl="6">
      <w:start w:val="1"/>
      <w:numFmt w:val="bullet"/>
      <w:suff w:val="tab"/>
      <w:lvlText w:val=""/>
      <w:pPr>
        <w:spacing/>
        <w:ind w:left="5400" w:hanging="360"/>
      </w:pPr>
      <w:rPr>
        <w:rFonts w:ascii="Symbol" w:hAnsi="Symbol" w:eastAsia="Symbol" w:cs="Symbol" w:hint="default"/>
      </w:rPr>
    </w:lvl>
    <w:lvl w:ilvl="7">
      <w:start w:val="1"/>
      <w:numFmt w:val="bullet"/>
      <w:suff w:val="tab"/>
      <w:lvlText w:val="o"/>
      <w:pPr>
        <w:spacing/>
        <w:ind w:left="6120" w:hanging="360"/>
      </w:pPr>
      <w:rPr>
        <w:rFonts w:ascii="Courier New" w:hAnsi="Courier New" w:eastAsia="Courier New" w:cs="Courier New" w:hint="default"/>
      </w:rPr>
    </w:lvl>
    <w:lvl w:ilvl="8">
      <w:start w:val="1"/>
      <w:numFmt w:val="bullet"/>
      <w:suff w:val="tab"/>
      <w:lvlText w:val=""/>
      <w:pPr>
        <w:spacing/>
        <w:ind w:left="6840" w:hanging="360"/>
      </w:pPr>
      <w:rPr>
        <w:rFonts w:ascii="Wingdings" w:hAnsi="Wingdings" w:eastAsia="Wingdings" w:cs="Wingdings" w:hint="default"/>
      </w:rPr>
    </w:lvl>
  </w:abstractNum>
  <w:abstractNum w:abstractNumId="14">
    <w:lvl w:ilvl="0">
      <w:start w:val="1"/>
      <w:numFmt w:val="bullet"/>
      <w:suff w:val="tab"/>
      <w:lvlText w:val=""/>
      <w:pPr>
        <w:spacing/>
        <w:ind w:left="1080" w:hanging="360"/>
      </w:pPr>
      <w:rPr>
        <w:rFonts w:ascii="Symbol" w:hAnsi="Symbol" w:eastAsia="Symbol" w:cs="Symbol" w:hint="default"/>
      </w:rPr>
    </w:lvl>
    <w:lvl w:ilvl="1">
      <w:start w:val="1"/>
      <w:numFmt w:val="bullet"/>
      <w:suff w:val="tab"/>
      <w:lvlText w:val="o"/>
      <w:pPr>
        <w:spacing/>
        <w:ind w:left="1800" w:hanging="360"/>
      </w:pPr>
      <w:rPr>
        <w:rFonts w:ascii="Courier New" w:hAnsi="Courier New" w:eastAsia="Courier New" w:cs="Courier New" w:hint="default"/>
      </w:rPr>
    </w:lvl>
    <w:lvl w:ilvl="2">
      <w:start w:val="1"/>
      <w:numFmt w:val="bullet"/>
      <w:suff w:val="tab"/>
      <w:lvlText w:val=""/>
      <w:pPr>
        <w:spacing/>
        <w:ind w:left="2520" w:hanging="360"/>
      </w:pPr>
      <w:rPr>
        <w:rFonts w:ascii="Wingdings" w:hAnsi="Wingdings" w:eastAsia="Wingdings" w:cs="Wingdings" w:hint="default"/>
      </w:rPr>
    </w:lvl>
    <w:lvl w:ilvl="3">
      <w:start w:val="1"/>
      <w:numFmt w:val="bullet"/>
      <w:suff w:val="tab"/>
      <w:lvlText w:val=""/>
      <w:pPr>
        <w:spacing/>
        <w:ind w:left="3240" w:hanging="360"/>
      </w:pPr>
      <w:rPr>
        <w:rFonts w:ascii="Symbol" w:hAnsi="Symbol" w:eastAsia="Symbol" w:cs="Symbol" w:hint="default"/>
      </w:rPr>
    </w:lvl>
    <w:lvl w:ilvl="4">
      <w:start w:val="1"/>
      <w:numFmt w:val="bullet"/>
      <w:suff w:val="tab"/>
      <w:lvlText w:val="o"/>
      <w:pPr>
        <w:spacing/>
        <w:ind w:left="3960" w:hanging="360"/>
      </w:pPr>
      <w:rPr>
        <w:rFonts w:ascii="Courier New" w:hAnsi="Courier New" w:eastAsia="Courier New" w:cs="Courier New" w:hint="default"/>
      </w:rPr>
    </w:lvl>
    <w:lvl w:ilvl="5">
      <w:start w:val="1"/>
      <w:numFmt w:val="bullet"/>
      <w:suff w:val="tab"/>
      <w:lvlText w:val=""/>
      <w:pPr>
        <w:spacing/>
        <w:ind w:left="4680" w:hanging="360"/>
      </w:pPr>
      <w:rPr>
        <w:rFonts w:ascii="Wingdings" w:hAnsi="Wingdings" w:eastAsia="Wingdings" w:cs="Wingdings" w:hint="default"/>
      </w:rPr>
    </w:lvl>
    <w:lvl w:ilvl="6">
      <w:start w:val="1"/>
      <w:numFmt w:val="bullet"/>
      <w:suff w:val="tab"/>
      <w:lvlText w:val=""/>
      <w:pPr>
        <w:spacing/>
        <w:ind w:left="5400" w:hanging="360"/>
      </w:pPr>
      <w:rPr>
        <w:rFonts w:ascii="Symbol" w:hAnsi="Symbol" w:eastAsia="Symbol" w:cs="Symbol" w:hint="default"/>
      </w:rPr>
    </w:lvl>
    <w:lvl w:ilvl="7">
      <w:start w:val="1"/>
      <w:numFmt w:val="bullet"/>
      <w:suff w:val="tab"/>
      <w:lvlText w:val="o"/>
      <w:pPr>
        <w:spacing/>
        <w:ind w:left="6120" w:hanging="360"/>
      </w:pPr>
      <w:rPr>
        <w:rFonts w:ascii="Courier New" w:hAnsi="Courier New" w:eastAsia="Courier New" w:cs="Courier New" w:hint="default"/>
      </w:rPr>
    </w:lvl>
    <w:lvl w:ilvl="8">
      <w:start w:val="1"/>
      <w:numFmt w:val="bullet"/>
      <w:suff w:val="tab"/>
      <w:lvlText w:val=""/>
      <w:pPr>
        <w:spacing/>
        <w:ind w:left="6840" w:hanging="360"/>
      </w:pPr>
      <w:rPr>
        <w:rFonts w:ascii="Wingdings" w:hAnsi="Wingdings" w:eastAsia="Wingdings" w:cs="Wingdings" w:hint="default"/>
      </w:rPr>
    </w:lvl>
  </w:abstractNum>
  <w:abstractNum w:abstractNumId="15">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7">
    <w:lvl w:ilvl="0">
      <w:start w:val="1"/>
      <w:numFmt w:val="decimal"/>
      <w:suff w:val="tab"/>
      <w:lvlText w:val="%1."/>
      <w:pPr>
        <w:spacing/>
        <w:ind w:left="720" w:hanging="360"/>
      </w:pPr>
      <w:rPr>
        <w:rFonts w:hint="default"/>
        <w:b/>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8">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after="0" w:line="240" w:lineRule="auto"/>
    </w:pPr>
    <w:rPr>
      <w:rFonts w:ascii="Times New Roman" w:hAnsi="Times New Roman" w:eastAsia="Times New Roman" w:cs="Times New Roman"/>
      <w:sz w:val="24"/>
      <w:szCs w:val="24"/>
      <w:lang w:eastAsia="en-GB"/>
    </w:rPr>
  </w:style>
  <w:style w:type="paragraph" w:styleId="Heading3">
    <w:name w:val="Heading 3"/>
    <w:basedOn w:val="Normal"/>
    <w:next w:val="Normal"/>
    <w:link w:val="Heading3Char"/>
    <w:qFormat/>
    <w:pPr>
      <w:spacing w:before="100" w:beforeAutospacing="1" w:after="100" w:afterAutospacing="1"/>
      <w:outlineLvl w:val="2"/>
    </w:pPr>
    <w:rPr>
      <w:b/>
      <w:bCs/>
      <w:color w:val="3D7072"/>
      <w:sz w:val="27"/>
      <w:szCs w:val="27"/>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3Char" w:customStyle="1">
    <w:name w:val="Heading 3 Char"/>
    <w:basedOn w:val="DefaultParagraphFont"/>
    <w:link w:val="Heading3"/>
    <w:rPr>
      <w:rFonts w:ascii="Times New Roman" w:hAnsi="Times New Roman" w:eastAsia="Times New Roman" w:cs="Times New Roman"/>
      <w:b/>
      <w:bCs/>
      <w:color w:val="3D7072"/>
      <w:sz w:val="27"/>
      <w:szCs w:val="27"/>
      <w:lang w:eastAsia="en-GB"/>
    </w:rPr>
  </w:style>
  <w:style w:type="paragraph" w:styleId="NoSpacing" w:customStyle="1">
    <w:name w:val="No Spacing"/>
    <w:next w:val="NoSpacing"/>
    <w:qFormat/>
    <w:pPr>
      <w:spacing w:after="0" w:line="240" w:lineRule="auto"/>
    </w:pPr>
    <w:rPr>
      <w:rFonts w:ascii="Times New Roman" w:hAnsi="Times New Roman" w:eastAsia="Calibri" w:cs="Times New Roman"/>
      <w:sz w:val="24"/>
      <w:szCs w:val="24"/>
    </w:rPr>
  </w:style>
  <w:style w:type="paragraph" w:styleId="Default" w:customStyle="1">
    <w:name w:val="Default"/>
    <w:next w:val="Normal"/>
    <w:pPr>
      <w:autoSpaceDE w:val="false"/>
      <w:autoSpaceDN w:val="false"/>
      <w:adjustRightInd w:val="false"/>
      <w:spacing w:after="0" w:line="240" w:lineRule="auto"/>
    </w:pPr>
    <w:rPr>
      <w:rFonts w:ascii="Calibri" w:hAnsi="Calibri" w:eastAsia="Calibri" w:cs="Calibri"/>
      <w:color w:val="000000"/>
      <w:sz w:val="24"/>
      <w:szCs w:val="24"/>
      <w:lang w:eastAsia="en-GB"/>
    </w:rPr>
  </w:style>
  <w:style w:type="paragraph" w:styleId="ListParagraph" w:customStyle="1">
    <w:name w:val="List Paragraph"/>
    <w:basedOn w:val="Normal"/>
    <w:next w:val="ListParagraph"/>
    <w:qFormat/>
    <w:pPr>
      <w:spacing/>
      <w:ind w:left="720"/>
    </w:pPr>
    <w:rPr>
      <w:rFonts w:ascii="Verdana" w:hAnsi="Verdana" w:eastAsia="Calibri" w:cs="Verdana"/>
      <w:sz w:val="20"/>
      <w:szCs w:val="20"/>
    </w:rPr>
  </w:style>
  <w:style w:type="paragraph" w:styleId="Subtitle">
    <w:name w:val="Subtitle"/>
    <w:basedOn w:val="Normal"/>
    <w:next w:val="Normal"/>
    <w:link w:val="SubtitleChar"/>
    <w:qFormat/>
    <w:pPr>
      <w:spacing w:after="60"/>
      <w:jc w:val="center"/>
      <w:outlineLvl w:val="1"/>
    </w:pPr>
    <w:rPr>
      <w:rFonts w:ascii="Cambria" w:hAnsi="Cambria" w:eastAsia="Cambria" w:cs="Cambria"/>
      <w:lang w:eastAsia="en-US"/>
    </w:rPr>
  </w:style>
  <w:style w:type="character" w:styleId="SubtitleChar" w:customStyle="1">
    <w:name w:val="Subtitle Char"/>
    <w:basedOn w:val="DefaultParagraphFont"/>
    <w:link w:val="Subtitle"/>
    <w:rPr>
      <w:rFonts w:ascii="Cambria" w:hAnsi="Cambria" w:eastAsia="Times New Roman" w:cs="Times New Roman"/>
      <w:sz w:val="24"/>
      <w:szCs w:val="24"/>
    </w:rPr>
  </w:style>
  <w:style w:type="paragraph" w:styleId="NormalWeb">
    <w:name w:val="Normal (Web)"/>
    <w:basedOn w:val="Normal"/>
    <w:next w:val="Normal"/>
    <w:unhideWhenUsed/>
    <w:pPr>
      <w:spacing w:before="100" w:beforeAutospacing="1" w:after="100" w:afterAutospacing="1"/>
    </w:pPr>
    <w:rPr/>
  </w:style>
  <w:style w:type="paragraph" w:styleId="Footer">
    <w:name w:val="Footer"/>
    <w:basedOn w:val="Normal"/>
    <w:next w:val="Normal"/>
    <w:link w:val="FooterChar"/>
    <w:pPr>
      <w:tabs>
        <w:tab w:val="center" w:pos="4513"/>
        <w:tab w:val="right" w:pos="9026"/>
      </w:tabs>
      <w:spacing/>
    </w:pPr>
    <w:rPr/>
  </w:style>
  <w:style w:type="character" w:styleId="FooterChar" w:customStyle="1">
    <w:name w:val="Footer Char"/>
    <w:basedOn w:val="DefaultParagraphFont"/>
    <w:link w:val="Footer"/>
    <w:rPr>
      <w:rFonts w:ascii="Times New Roman" w:hAnsi="Times New Roman" w:eastAsia="Times New Roman" w:cs="Times New Roman"/>
      <w:sz w:val="24"/>
      <w:szCs w:val="24"/>
      <w:lang w:eastAsia="en-GB"/>
    </w:rPr>
  </w:style>
  <w:style w:type="paragraph" w:styleId="BalloonText">
    <w:name w:val="Balloon Text"/>
    <w:basedOn w:val="Normal"/>
    <w:link w:val="BalloonTextChar"/>
    <w:semiHidden/>
    <w:unhideWhenUsed/>
    <w:pPr>
      <w:spacing/>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imes New Roman" w:cs="Tahoma"/>
      <w:sz w:val="16"/>
      <w:szCs w:val="16"/>
      <w:lang w:eastAsia="en-GB"/>
    </w:rPr>
  </w:style>
  <w:style w:type="paragraph" w:styleId="Header">
    <w:name w:val="Header"/>
    <w:basedOn w:val="Normal"/>
    <w:next w:val="Normal"/>
    <w:link w:val="HeaderChar"/>
    <w:unhideWhenUsed/>
    <w:pPr>
      <w:tabs>
        <w:tab w:val="center" w:pos="4513"/>
        <w:tab w:val="right" w:pos="9026"/>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lang w:eastAsia="en-GB"/>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link w:val="annotationtext"/>
    <w:semiHidden/>
    <w:rPr>
      <w:rFonts w:ascii="Times New Roman" w:hAnsi="Times New Roman" w:eastAsia="Times New Roman" w:cs="Times New Roman"/>
      <w:sz w:val="20"/>
      <w:szCs w:val="20"/>
      <w:lang w:eastAsia="en-GB"/>
    </w:rPr>
  </w:style>
  <w:style w:type="paragraph" w:styleId="CommentSubject" w:customStyle="1">
    <w:name w:val="annotation subject"/>
    <w:basedOn w:val="CommentText"/>
    <w:next w:val="annotationtext"/>
    <w:link w:val="CommentSubjectChar"/>
    <w:semiHidden/>
    <w:unhideWhenUsed/>
    <w:pPr>
      <w:spacing/>
    </w:pPr>
    <w:rPr>
      <w:b/>
      <w:bCs/>
    </w:rPr>
  </w:style>
  <w:style w:type="character" w:styleId="CommentSubjectChar" w:customStyle="1">
    <w:name w:val="Comment Subject Char"/>
    <w:basedOn w:val="CommentTextChar"/>
    <w:link w:val="annotationsubject"/>
    <w:semiHidden/>
    <w:rPr>
      <w:rFonts w:ascii="Times New Roman" w:hAnsi="Times New Roman" w:eastAsia="Times New Roman" w:cs="Times New Roman"/>
      <w:b/>
      <w:bCs/>
      <w:sz w:val="20"/>
      <w:szCs w:val="20"/>
      <w:lang w:eastAsia="en-GB"/>
    </w:rPr>
  </w:style>
</w:styles>
</file>

<file path=word/_rels/document.xml.rels>&#65279;<?xml version="1.0" encoding="utf-8" standalone="yes"?><Relationships xmlns="http://schemas.openxmlformats.org/package/2006/relationships"><Relationship Id="rId10" Type="http://schemas.openxmlformats.org/officeDocument/2006/relationships/styles" Target="styles.xml" /><Relationship Id="rId11" Type="http://schemas.openxmlformats.org/officeDocument/2006/relationships/settings" Target="settings.xml" /><Relationship Id="rId12" Type="http://schemas.openxmlformats.org/officeDocument/2006/relationships/numbering" Target="numbering.xml" /><Relationship Id="rId7" Type="http://schemas.openxmlformats.org/officeDocument/2006/relationships/footer" Target="footer7.xml" /><Relationship Id="rId6" Type="http://schemas.openxmlformats.org/officeDocument/2006/relationships/header" Target="header6.xml" /><Relationship Id="rId5" Type="http://schemas.openxmlformats.org/officeDocument/2006/relationships/footer" Target="footer5.xml" /><Relationship Id="rId4" Type="http://schemas.openxmlformats.org/officeDocument/2006/relationships/header" Target="header4.xml" /><Relationship Id="rId9" Type="http://schemas.openxmlformats.org/officeDocument/2006/relationships/footer" Target="footer9.xml" /><Relationship Id="rId8" Type="http://schemas.openxmlformats.org/officeDocument/2006/relationships/header" Target="header8.xml" /><Relationship Id="rId13" Type="http://schemas.openxmlformats.org/officeDocument/2006/relationships/fontTable" Target="fontTable.xml" /><Relationship Id="rId1" Type="http://schemas.openxmlformats.org/officeDocument/2006/relationships/image" Target="media/image2.jpeg" /><Relationship Id="rId2" Type="http://schemas.openxmlformats.org/officeDocument/2006/relationships/hyperlink" Target="https://owa.cumbria.ac.uk/owa/redir.aspx?C=7d622930870d4b49b1599096166d33be&amp;URL=http%3a%2f%2fwww.qaa.ac.uk%2fPublications%2fInformationAndGuidance%2fPages%2fquality-code-B10.aspx" TargetMode="External" /><Relationship Id="rId3" Type="http://schemas.openxmlformats.org/officeDocument/2006/relationships/hyperlink" Target="https://owa.cumbria.ac.uk/owa/redir.aspx?C=7d622930870d4b49b1599096166d33be&amp;URL=http%3a%2f%2fwww.qaa.ac.uk%2fPublications%2fInformationAndGuidance%2fPages%2fquality-code-B10.aspx" TargetMode="External" /></Relationships>
</file>

<file path=docProps/app.xml><?xml version="1.0" encoding="utf-8"?>
<Properties xmlns:vt="http://schemas.openxmlformats.org/officeDocument/2006/docPropsVTypes" xmlns="http://schemas.openxmlformats.org/officeDocument/2006/extended-properties">
  <Template>Normal</Template>
  <TotalTime>0</TotalTime>
  <Pages>9</Pages>
  <Words>4342</Words>
  <Characters>24754</Characters>
  <Application>Microsoft Office Word</Application>
  <DocSecurity>0</DocSecurity>
  <Lines>206</Lines>
  <Paragraphs>58</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of Academic Collaborative Provision Strategy 2013 to 2018</dc:title>
  <dc:creator>Mr Services User</dc:creator>
  <cp:lastModifiedBy>robert.donnelly</cp:lastModifiedBy>
  <cp:lastPrinted>2013-09-23T08:01:00Z</cp:lastPrinted>
  <cp:revision>2</cp:revision>
  <dcterms:created xsi:type="dcterms:W3CDTF">2014-01-30T16:30:00Z</dcterms:created>
  <dcterms:modified xsi:type="dcterms:W3CDTF">2014-08-11T17:55:36.79Z</dcterms:modified>
</cp:coreProperties>
</file>