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D0C09" w14:textId="77777777" w:rsidR="000C1BE6" w:rsidRDefault="000C1BE6">
      <w:bookmarkStart w:id="0" w:name="_GoBack"/>
      <w:bookmarkEnd w:id="0"/>
    </w:p>
    <w:p w14:paraId="194394BB" w14:textId="77777777" w:rsidR="000C1BE6" w:rsidRDefault="000C1BE6"/>
    <w:p w14:paraId="50AD8D25" w14:textId="77777777" w:rsidR="000C1BE6" w:rsidRDefault="000C1BE6"/>
    <w:p w14:paraId="2D0C9BA9" w14:textId="77777777" w:rsidR="00244CD0" w:rsidRDefault="00547962" w:rsidP="000C1BE6">
      <w:pPr>
        <w:jc w:val="right"/>
      </w:pPr>
      <w:r>
        <w:rPr>
          <w:noProof/>
          <w:lang w:val="en-GB" w:eastAsia="en-GB"/>
        </w:rPr>
        <w:drawing>
          <wp:inline distT="0" distB="0" distL="0" distR="0" wp14:anchorId="23E10474" wp14:editId="5041B5D8">
            <wp:extent cx="3970020" cy="1038860"/>
            <wp:effectExtent l="0" t="0" r="0" b="0"/>
            <wp:docPr id="651241243" name="Picture 651241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1241243"/>
                    <pic:cNvPicPr/>
                  </pic:nvPicPr>
                  <pic:blipFill>
                    <a:blip r:embed="rId10">
                      <a:extLst>
                        <a:ext uri="{28A0092B-C50C-407E-A947-70E740481C1C}">
                          <a14:useLocalDpi xmlns:a14="http://schemas.microsoft.com/office/drawing/2010/main" val="0"/>
                        </a:ext>
                      </a:extLst>
                    </a:blip>
                    <a:stretch>
                      <a:fillRect/>
                    </a:stretch>
                  </pic:blipFill>
                  <pic:spPr>
                    <a:xfrm>
                      <a:off x="0" y="0"/>
                      <a:ext cx="3970020" cy="1038860"/>
                    </a:xfrm>
                    <a:prstGeom prst="rect">
                      <a:avLst/>
                    </a:prstGeom>
                  </pic:spPr>
                </pic:pic>
              </a:graphicData>
            </a:graphic>
          </wp:inline>
        </w:drawing>
      </w:r>
    </w:p>
    <w:p w14:paraId="57BC665A" w14:textId="77777777" w:rsidR="000C1BE6" w:rsidRDefault="000C1BE6" w:rsidP="000C1BE6"/>
    <w:p w14:paraId="71AF813B" w14:textId="77777777" w:rsidR="000C1BE6" w:rsidRDefault="000C1BE6" w:rsidP="000C1BE6"/>
    <w:p w14:paraId="74FD9BE8" w14:textId="77777777" w:rsidR="000C1BE6" w:rsidRDefault="000C1BE6" w:rsidP="000C1BE6"/>
    <w:p w14:paraId="40530DA4" w14:textId="77777777" w:rsidR="000C1BE6" w:rsidRDefault="000C1BE6" w:rsidP="000C1BE6"/>
    <w:p w14:paraId="4D3F17E1" w14:textId="77777777" w:rsidR="000C1BE6" w:rsidRDefault="000C1BE6" w:rsidP="000C1BE6"/>
    <w:p w14:paraId="088401A3" w14:textId="77777777" w:rsidR="000C1BE6" w:rsidRDefault="000C1BE6" w:rsidP="000C1BE6"/>
    <w:p w14:paraId="4B3F7719" w14:textId="77777777" w:rsidR="000C1BE6" w:rsidRDefault="000C1BE6" w:rsidP="000C1BE6"/>
    <w:p w14:paraId="5CC8CC5A" w14:textId="77777777" w:rsidR="000C1BE6" w:rsidRDefault="000C1BE6" w:rsidP="000C1BE6"/>
    <w:p w14:paraId="1E548378" w14:textId="77777777" w:rsidR="000C1BE6" w:rsidRDefault="000C1BE6" w:rsidP="000C1BE6">
      <w:pPr>
        <w:rPr>
          <w:sz w:val="80"/>
          <w:szCs w:val="80"/>
        </w:rPr>
      </w:pPr>
      <w:r>
        <w:rPr>
          <w:sz w:val="80"/>
          <w:szCs w:val="80"/>
        </w:rPr>
        <w:t>Gender Pay Gap Report</w:t>
      </w:r>
    </w:p>
    <w:p w14:paraId="2B446637" w14:textId="77777777" w:rsidR="000C1BE6" w:rsidRDefault="000C1BE6" w:rsidP="000C1BE6">
      <w:pPr>
        <w:rPr>
          <w:sz w:val="80"/>
          <w:szCs w:val="80"/>
        </w:rPr>
      </w:pPr>
      <w:r>
        <w:rPr>
          <w:sz w:val="80"/>
          <w:szCs w:val="80"/>
        </w:rPr>
        <w:t>March 2021</w:t>
      </w:r>
    </w:p>
    <w:p w14:paraId="7A121ABA" w14:textId="77777777" w:rsidR="000C1BE6" w:rsidRDefault="000C1BE6" w:rsidP="000C1BE6">
      <w:pPr>
        <w:rPr>
          <w:sz w:val="80"/>
          <w:szCs w:val="80"/>
        </w:rPr>
      </w:pPr>
    </w:p>
    <w:p w14:paraId="23984E1A" w14:textId="77777777" w:rsidR="000C1BE6" w:rsidRDefault="000C1BE6" w:rsidP="000C1BE6">
      <w:pPr>
        <w:rPr>
          <w:sz w:val="80"/>
          <w:szCs w:val="80"/>
        </w:rPr>
      </w:pPr>
    </w:p>
    <w:p w14:paraId="24F91117" w14:textId="77777777" w:rsidR="000C1BE6" w:rsidRDefault="000C1BE6" w:rsidP="000C1BE6">
      <w:pPr>
        <w:rPr>
          <w:sz w:val="80"/>
          <w:szCs w:val="80"/>
        </w:rPr>
      </w:pPr>
    </w:p>
    <w:p w14:paraId="02116A70" w14:textId="77777777" w:rsidR="000C1BE6" w:rsidRDefault="000C1BE6" w:rsidP="000C1BE6">
      <w:pPr>
        <w:rPr>
          <w:sz w:val="80"/>
          <w:szCs w:val="80"/>
        </w:rPr>
      </w:pPr>
    </w:p>
    <w:p w14:paraId="712CFE4F" w14:textId="77777777" w:rsidR="000C1BE6" w:rsidRDefault="000C1BE6" w:rsidP="000C1BE6">
      <w:pPr>
        <w:rPr>
          <w:sz w:val="80"/>
          <w:szCs w:val="80"/>
        </w:rPr>
      </w:pPr>
      <w:r>
        <w:rPr>
          <w:sz w:val="80"/>
          <w:szCs w:val="80"/>
        </w:rPr>
        <w:t>Lee McDermott</w:t>
      </w:r>
    </w:p>
    <w:p w14:paraId="662522AC" w14:textId="77777777" w:rsidR="000C1BE6" w:rsidRDefault="000C1BE6" w:rsidP="000C1BE6">
      <w:pPr>
        <w:rPr>
          <w:sz w:val="56"/>
          <w:szCs w:val="56"/>
        </w:rPr>
      </w:pPr>
      <w:r w:rsidRPr="000C1BE6">
        <w:rPr>
          <w:sz w:val="56"/>
          <w:szCs w:val="56"/>
        </w:rPr>
        <w:t>Equality, Diversity and Inclusion Officer</w:t>
      </w:r>
    </w:p>
    <w:p w14:paraId="39B008B6" w14:textId="77777777" w:rsidR="000C1BE6" w:rsidRDefault="000C1BE6" w:rsidP="000C1BE6"/>
    <w:p w14:paraId="314AFAFF" w14:textId="77777777" w:rsidR="000C1BE6" w:rsidRDefault="000C1BE6" w:rsidP="000C1BE6"/>
    <w:p w14:paraId="248BCA0D" w14:textId="77777777" w:rsidR="000C1BE6" w:rsidRDefault="000C1BE6" w:rsidP="000C1BE6"/>
    <w:p w14:paraId="21D31E28" w14:textId="77777777" w:rsidR="000C1BE6" w:rsidRDefault="000C1BE6" w:rsidP="000C1BE6"/>
    <w:p w14:paraId="3B38984F" w14:textId="77777777" w:rsidR="000C1BE6" w:rsidRDefault="000C1BE6" w:rsidP="000C1BE6"/>
    <w:p w14:paraId="0537D5E3" w14:textId="77777777" w:rsidR="000C1BE6" w:rsidRDefault="000C1BE6" w:rsidP="000C1BE6"/>
    <w:p w14:paraId="70CD87F3" w14:textId="76CD7D9D" w:rsidR="004B7E30" w:rsidRDefault="004B7E30" w:rsidP="004B7E30">
      <w:pPr>
        <w:spacing w:after="160" w:line="259" w:lineRule="auto"/>
        <w:rPr>
          <w:b/>
          <w:sz w:val="26"/>
          <w:szCs w:val="26"/>
        </w:rPr>
      </w:pPr>
      <w:r w:rsidRPr="008F7AF0">
        <w:rPr>
          <w:b/>
          <w:sz w:val="40"/>
          <w:szCs w:val="40"/>
        </w:rPr>
        <w:t xml:space="preserve">Gender </w:t>
      </w:r>
      <w:r w:rsidRPr="008F7AF0">
        <w:rPr>
          <w:b/>
          <w:spacing w:val="3"/>
          <w:sz w:val="40"/>
          <w:szCs w:val="40"/>
        </w:rPr>
        <w:t xml:space="preserve">Pay </w:t>
      </w:r>
      <w:r w:rsidRPr="008F7AF0">
        <w:rPr>
          <w:b/>
          <w:spacing w:val="2"/>
          <w:sz w:val="40"/>
          <w:szCs w:val="40"/>
        </w:rPr>
        <w:t>Gap</w:t>
      </w:r>
      <w:r w:rsidRPr="008F7AF0">
        <w:rPr>
          <w:b/>
          <w:spacing w:val="-24"/>
          <w:sz w:val="40"/>
          <w:szCs w:val="40"/>
        </w:rPr>
        <w:t xml:space="preserve"> </w:t>
      </w:r>
      <w:r w:rsidRPr="008F7AF0">
        <w:rPr>
          <w:b/>
          <w:sz w:val="40"/>
          <w:szCs w:val="40"/>
        </w:rPr>
        <w:t>Report</w:t>
      </w:r>
      <w:r>
        <w:rPr>
          <w:b/>
          <w:sz w:val="40"/>
          <w:szCs w:val="40"/>
        </w:rPr>
        <w:t xml:space="preserve"> 2021</w:t>
      </w:r>
    </w:p>
    <w:p w14:paraId="26E185EB" w14:textId="46A631B3" w:rsidR="004B7E30" w:rsidRPr="00942DD8" w:rsidRDefault="004B7E30" w:rsidP="004B7E30">
      <w:pPr>
        <w:spacing w:after="160" w:line="259" w:lineRule="auto"/>
        <w:jc w:val="both"/>
        <w:rPr>
          <w:b/>
          <w:sz w:val="26"/>
          <w:szCs w:val="26"/>
        </w:rPr>
      </w:pPr>
      <w:r w:rsidRPr="00942DD8">
        <w:rPr>
          <w:b/>
          <w:sz w:val="26"/>
          <w:szCs w:val="26"/>
        </w:rPr>
        <w:t xml:space="preserve">Under the Equalities Act 2010 (Specific Duties and Public Authorities) Regulations 2017, all public sector employers with 250 or more employees are required to report their gender pay gap data annually.  </w:t>
      </w:r>
    </w:p>
    <w:p w14:paraId="34DB577F" w14:textId="77777777" w:rsidR="004B7E30" w:rsidRPr="009A2400" w:rsidRDefault="004B7E30" w:rsidP="004B7E30">
      <w:pPr>
        <w:pStyle w:val="Default"/>
        <w:jc w:val="both"/>
        <w:rPr>
          <w:rFonts w:asciiTheme="minorHAnsi" w:hAnsiTheme="minorHAnsi" w:cstheme="minorHAnsi"/>
          <w:color w:val="221E1F"/>
        </w:rPr>
      </w:pPr>
      <w:r w:rsidRPr="009A2400">
        <w:rPr>
          <w:rFonts w:asciiTheme="minorHAnsi" w:hAnsiTheme="minorHAnsi" w:cstheme="minorHAnsi"/>
          <w:color w:val="221E1F"/>
        </w:rPr>
        <w:t xml:space="preserve">The Gender Pay Gap is the percentage difference between the average hourly earnings for men and women across the entire organisation.  </w:t>
      </w:r>
    </w:p>
    <w:p w14:paraId="5DB875C8" w14:textId="77777777" w:rsidR="004B7E30" w:rsidRPr="009A2400" w:rsidRDefault="004B7E30" w:rsidP="004B7E30">
      <w:pPr>
        <w:pStyle w:val="Default"/>
        <w:jc w:val="both"/>
        <w:rPr>
          <w:rFonts w:asciiTheme="minorHAnsi" w:hAnsiTheme="minorHAnsi" w:cstheme="minorHAnsi"/>
          <w:color w:val="221E1F"/>
        </w:rPr>
      </w:pPr>
    </w:p>
    <w:p w14:paraId="088B60E9" w14:textId="77777777" w:rsidR="004B7E30" w:rsidRPr="009A2400" w:rsidRDefault="004B7E30" w:rsidP="004B7E30">
      <w:pPr>
        <w:pStyle w:val="Default"/>
        <w:jc w:val="both"/>
        <w:rPr>
          <w:rFonts w:asciiTheme="minorHAnsi" w:hAnsiTheme="minorHAnsi" w:cstheme="minorHAnsi"/>
          <w:color w:val="221E1F"/>
        </w:rPr>
      </w:pPr>
      <w:r w:rsidRPr="009A2400">
        <w:rPr>
          <w:rFonts w:asciiTheme="minorHAnsi" w:hAnsiTheme="minorHAnsi" w:cstheme="minorHAnsi"/>
        </w:rPr>
        <w:t>The use of Gender Pay Gap data can help to identify the extent to which men and women undertake different types of jobs at different levels within the organisation, which can create differences in pay. It is different to equal pay, which</w:t>
      </w:r>
      <w:r w:rsidRPr="009A2400">
        <w:rPr>
          <w:rFonts w:asciiTheme="minorHAnsi" w:hAnsiTheme="minorHAnsi" w:cstheme="minorHAnsi"/>
          <w:color w:val="221E1F"/>
        </w:rPr>
        <w:t xml:space="preserve"> is to pay men and women differently for performing work of equal value.  This is illegal and there has been legislation against this since 1970 Equal Pay Act.  </w:t>
      </w:r>
    </w:p>
    <w:p w14:paraId="661189A8" w14:textId="77777777" w:rsidR="004B7E30" w:rsidRPr="009A2400" w:rsidRDefault="004B7E30" w:rsidP="004B7E30">
      <w:pPr>
        <w:pStyle w:val="Default"/>
        <w:jc w:val="both"/>
        <w:rPr>
          <w:rFonts w:asciiTheme="minorHAnsi" w:hAnsiTheme="minorHAnsi" w:cstheme="minorHAnsi"/>
          <w:color w:val="221E1F"/>
        </w:rPr>
      </w:pPr>
    </w:p>
    <w:p w14:paraId="49DAE904" w14:textId="77777777" w:rsidR="004B7E30" w:rsidRPr="009A2400" w:rsidRDefault="004B7E30" w:rsidP="004B7E30">
      <w:pPr>
        <w:pStyle w:val="Default"/>
        <w:jc w:val="both"/>
        <w:rPr>
          <w:rFonts w:asciiTheme="minorHAnsi" w:hAnsiTheme="minorHAnsi" w:cstheme="minorHAnsi"/>
          <w:color w:val="221E1F"/>
        </w:rPr>
      </w:pPr>
      <w:r w:rsidRPr="009A2400">
        <w:rPr>
          <w:rFonts w:asciiTheme="minorHAnsi" w:hAnsiTheme="minorHAnsi" w:cstheme="minorHAnsi"/>
          <w:color w:val="221E1F"/>
        </w:rPr>
        <w:t>The mandatory reporting information required is as follows:</w:t>
      </w:r>
    </w:p>
    <w:p w14:paraId="6E2A2960" w14:textId="77777777" w:rsidR="004B7E30" w:rsidRPr="009A2400" w:rsidRDefault="004B7E30" w:rsidP="004B7E30">
      <w:pPr>
        <w:pStyle w:val="Default"/>
        <w:numPr>
          <w:ilvl w:val="0"/>
          <w:numId w:val="1"/>
        </w:numPr>
        <w:jc w:val="both"/>
        <w:rPr>
          <w:rFonts w:asciiTheme="minorHAnsi" w:hAnsiTheme="minorHAnsi" w:cstheme="minorHAnsi"/>
          <w:color w:val="221E1F"/>
        </w:rPr>
      </w:pPr>
      <w:r w:rsidRPr="009A2400">
        <w:rPr>
          <w:rFonts w:asciiTheme="minorHAnsi" w:hAnsiTheme="minorHAnsi" w:cstheme="minorHAnsi"/>
          <w:color w:val="221E1F"/>
        </w:rPr>
        <w:t>The mean and the median gender pay gaps;</w:t>
      </w:r>
    </w:p>
    <w:p w14:paraId="6282296E" w14:textId="77777777" w:rsidR="004B7E30" w:rsidRPr="009A2400" w:rsidRDefault="004B7E30" w:rsidP="004B7E30">
      <w:pPr>
        <w:pStyle w:val="Default"/>
        <w:numPr>
          <w:ilvl w:val="0"/>
          <w:numId w:val="1"/>
        </w:numPr>
        <w:jc w:val="both"/>
        <w:rPr>
          <w:rFonts w:asciiTheme="minorHAnsi" w:hAnsiTheme="minorHAnsi" w:cstheme="minorHAnsi"/>
          <w:color w:val="221E1F"/>
        </w:rPr>
      </w:pPr>
      <w:r w:rsidRPr="009A2400">
        <w:rPr>
          <w:rFonts w:asciiTheme="minorHAnsi" w:hAnsiTheme="minorHAnsi" w:cstheme="minorHAnsi"/>
          <w:color w:val="221E1F"/>
        </w:rPr>
        <w:t>The mean and the median gender bonus pay gaps, and the proportion of men and women who receive them;</w:t>
      </w:r>
    </w:p>
    <w:p w14:paraId="367C4DFC" w14:textId="77777777" w:rsidR="004B7E30" w:rsidRPr="009A2400" w:rsidRDefault="004B7E30" w:rsidP="004B7E30">
      <w:pPr>
        <w:pStyle w:val="Default"/>
        <w:numPr>
          <w:ilvl w:val="0"/>
          <w:numId w:val="1"/>
        </w:numPr>
        <w:jc w:val="both"/>
        <w:rPr>
          <w:rFonts w:asciiTheme="minorHAnsi" w:hAnsiTheme="minorHAnsi" w:cstheme="minorHAnsi"/>
          <w:color w:val="221E1F"/>
        </w:rPr>
      </w:pPr>
      <w:r w:rsidRPr="009A2400">
        <w:rPr>
          <w:rFonts w:asciiTheme="minorHAnsi" w:hAnsiTheme="minorHAnsi" w:cstheme="minorHAnsi"/>
          <w:color w:val="221E1F"/>
        </w:rPr>
        <w:t>Percentages of men and women employees in each pay quartile</w:t>
      </w:r>
    </w:p>
    <w:p w14:paraId="59C87B09" w14:textId="77777777" w:rsidR="004B7E30" w:rsidRPr="009A2400" w:rsidRDefault="004B7E30" w:rsidP="004B7E30">
      <w:pPr>
        <w:pStyle w:val="Default"/>
        <w:jc w:val="both"/>
        <w:rPr>
          <w:rFonts w:asciiTheme="minorHAnsi" w:hAnsiTheme="minorHAnsi" w:cstheme="minorHAnsi"/>
          <w:color w:val="221E1F"/>
        </w:rPr>
      </w:pPr>
    </w:p>
    <w:p w14:paraId="7B24F4D6" w14:textId="77777777" w:rsidR="004B7E30" w:rsidRPr="009A2400" w:rsidRDefault="004B7E30" w:rsidP="004B7E30">
      <w:pPr>
        <w:pStyle w:val="Default"/>
        <w:jc w:val="both"/>
        <w:rPr>
          <w:rFonts w:asciiTheme="minorHAnsi" w:hAnsiTheme="minorHAnsi" w:cstheme="minorHAnsi"/>
          <w:color w:val="221E1F"/>
        </w:rPr>
      </w:pPr>
      <w:r w:rsidRPr="009A2400">
        <w:rPr>
          <w:rFonts w:asciiTheme="minorHAnsi" w:hAnsiTheme="minorHAnsi" w:cstheme="minorHAnsi"/>
          <w:color w:val="221E1F"/>
        </w:rPr>
        <w:t xml:space="preserve">The </w:t>
      </w:r>
      <w:r w:rsidRPr="009A2400">
        <w:rPr>
          <w:rFonts w:asciiTheme="minorHAnsi" w:hAnsiTheme="minorHAnsi" w:cstheme="minorHAnsi"/>
          <w:b/>
          <w:color w:val="221E1F"/>
        </w:rPr>
        <w:t>mean</w:t>
      </w:r>
      <w:r w:rsidRPr="009A2400">
        <w:rPr>
          <w:rFonts w:asciiTheme="minorHAnsi" w:hAnsiTheme="minorHAnsi" w:cstheme="minorHAnsi"/>
          <w:color w:val="221E1F"/>
        </w:rPr>
        <w:t xml:space="preserve"> is the average i.e. the sum of all the values divided by the total number, and the </w:t>
      </w:r>
      <w:r w:rsidRPr="009A2400">
        <w:rPr>
          <w:rFonts w:asciiTheme="minorHAnsi" w:hAnsiTheme="minorHAnsi" w:cstheme="minorHAnsi"/>
          <w:b/>
          <w:color w:val="221E1F"/>
        </w:rPr>
        <w:t>median</w:t>
      </w:r>
      <w:r w:rsidRPr="009A2400">
        <w:rPr>
          <w:rFonts w:asciiTheme="minorHAnsi" w:hAnsiTheme="minorHAnsi" w:cstheme="minorHAnsi"/>
          <w:color w:val="221E1F"/>
        </w:rPr>
        <w:t xml:space="preserve"> is the middle value when ranked in ascending order i.e. the figure directly in the middle of the results.  The median is considered to be the more accurate representation of the gender pay gap as it is not distorted by the highest and lowest outliers.  </w:t>
      </w:r>
    </w:p>
    <w:p w14:paraId="4A150802" w14:textId="4E6AAD9D" w:rsidR="000C1BE6" w:rsidRDefault="000C1BE6" w:rsidP="000C1BE6"/>
    <w:p w14:paraId="715C12F3" w14:textId="6450648D" w:rsidR="004B7E30" w:rsidRDefault="000167E6" w:rsidP="23CCF81C">
      <w:pPr>
        <w:pStyle w:val="Default"/>
        <w:jc w:val="both"/>
        <w:rPr>
          <w:rFonts w:asciiTheme="minorHAnsi" w:hAnsiTheme="minorHAnsi" w:cstheme="minorBidi"/>
          <w:b/>
          <w:bCs/>
          <w:color w:val="221E1F"/>
        </w:rPr>
      </w:pPr>
      <w:r w:rsidRPr="23CCF81C">
        <w:rPr>
          <w:rFonts w:asciiTheme="minorHAnsi" w:hAnsiTheme="minorHAnsi" w:cstheme="minorBidi"/>
          <w:color w:val="221E1F"/>
        </w:rPr>
        <w:t xml:space="preserve">Whilst the government did not enforce reporting last year, due to the impact of COVID-19, 113 HEI’s in England and Wales still submitted their figures (compared to 126 the previous year). </w:t>
      </w:r>
      <w:r w:rsidR="00CE399C" w:rsidRPr="23CCF81C">
        <w:rPr>
          <w:rFonts w:asciiTheme="minorHAnsi" w:hAnsiTheme="minorHAnsi" w:cstheme="minorBidi"/>
          <w:color w:val="221E1F"/>
        </w:rPr>
        <w:t xml:space="preserve">According to the </w:t>
      </w:r>
      <w:r w:rsidR="000173D5">
        <w:rPr>
          <w:rFonts w:asciiTheme="minorHAnsi" w:hAnsiTheme="minorHAnsi" w:cstheme="minorBidi"/>
          <w:color w:val="221E1F"/>
        </w:rPr>
        <w:t>Office for National Statistics (</w:t>
      </w:r>
      <w:r w:rsidR="00CE399C" w:rsidRPr="23CCF81C">
        <w:rPr>
          <w:rFonts w:asciiTheme="minorHAnsi" w:hAnsiTheme="minorHAnsi" w:cstheme="minorBidi"/>
          <w:color w:val="221E1F"/>
        </w:rPr>
        <w:t>ONS</w:t>
      </w:r>
      <w:r w:rsidR="000173D5">
        <w:rPr>
          <w:rFonts w:asciiTheme="minorHAnsi" w:hAnsiTheme="minorHAnsi" w:cstheme="minorBidi"/>
          <w:color w:val="221E1F"/>
        </w:rPr>
        <w:t>)</w:t>
      </w:r>
      <w:r w:rsidR="00CE399C" w:rsidRPr="23CCF81C">
        <w:rPr>
          <w:rFonts w:asciiTheme="minorHAnsi" w:hAnsiTheme="minorHAnsi" w:cstheme="minorBidi"/>
          <w:color w:val="221E1F"/>
        </w:rPr>
        <w:t xml:space="preserve">, </w:t>
      </w:r>
      <w:r w:rsidR="00B344E3" w:rsidRPr="23CCF81C">
        <w:rPr>
          <w:rFonts w:asciiTheme="minorHAnsi" w:hAnsiTheme="minorHAnsi" w:cstheme="minorBidi"/>
          <w:color w:val="221E1F"/>
        </w:rPr>
        <w:t>the</w:t>
      </w:r>
      <w:r w:rsidR="00C93B2B" w:rsidRPr="23CCF81C">
        <w:rPr>
          <w:rFonts w:asciiTheme="minorHAnsi" w:hAnsiTheme="minorHAnsi" w:cstheme="minorBidi"/>
          <w:color w:val="221E1F"/>
        </w:rPr>
        <w:t xml:space="preserve"> median gender pay gap fell to 1</w:t>
      </w:r>
      <w:r w:rsidR="000173D5">
        <w:rPr>
          <w:rFonts w:asciiTheme="minorHAnsi" w:hAnsiTheme="minorHAnsi" w:cstheme="minorBidi"/>
          <w:color w:val="221E1F"/>
        </w:rPr>
        <w:t xml:space="preserve">5.5% among </w:t>
      </w:r>
      <w:r w:rsidR="73353034" w:rsidRPr="23CCF81C">
        <w:rPr>
          <w:rFonts w:asciiTheme="minorHAnsi" w:hAnsiTheme="minorHAnsi" w:cstheme="minorBidi"/>
          <w:color w:val="221E1F"/>
        </w:rPr>
        <w:t>all organisations</w:t>
      </w:r>
      <w:r w:rsidR="00C93B2B" w:rsidRPr="23CCF81C">
        <w:rPr>
          <w:rFonts w:asciiTheme="minorHAnsi" w:hAnsiTheme="minorHAnsi" w:cstheme="minorBidi"/>
          <w:color w:val="221E1F"/>
        </w:rPr>
        <w:t xml:space="preserve"> in 2020</w:t>
      </w:r>
      <w:r w:rsidR="00CE399C" w:rsidRPr="23CCF81C">
        <w:rPr>
          <w:rFonts w:asciiTheme="minorHAnsi" w:hAnsiTheme="minorHAnsi" w:cstheme="minorBidi"/>
          <w:color w:val="221E1F"/>
        </w:rPr>
        <w:t xml:space="preserve"> and </w:t>
      </w:r>
      <w:r w:rsidR="00B344E3" w:rsidRPr="23CCF81C">
        <w:rPr>
          <w:rFonts w:asciiTheme="minorHAnsi" w:hAnsiTheme="minorHAnsi" w:cstheme="minorBidi"/>
          <w:color w:val="221E1F"/>
        </w:rPr>
        <w:t>whi</w:t>
      </w:r>
      <w:r w:rsidR="00CE399C" w:rsidRPr="23CCF81C">
        <w:rPr>
          <w:rFonts w:asciiTheme="minorHAnsi" w:hAnsiTheme="minorHAnsi" w:cstheme="minorBidi"/>
          <w:color w:val="221E1F"/>
        </w:rPr>
        <w:t>l</w:t>
      </w:r>
      <w:r w:rsidR="00B344E3" w:rsidRPr="23CCF81C">
        <w:rPr>
          <w:rFonts w:asciiTheme="minorHAnsi" w:hAnsiTheme="minorHAnsi" w:cstheme="minorBidi"/>
          <w:color w:val="221E1F"/>
        </w:rPr>
        <w:t>s</w:t>
      </w:r>
      <w:r w:rsidR="00CE399C" w:rsidRPr="23CCF81C">
        <w:rPr>
          <w:rFonts w:asciiTheme="minorHAnsi" w:hAnsiTheme="minorHAnsi" w:cstheme="minorBidi"/>
          <w:color w:val="221E1F"/>
        </w:rPr>
        <w:t>t COVID-19 had a substantial impact on the labour markets, it appears to have had little impact on th</w:t>
      </w:r>
      <w:r w:rsidR="00B344E3" w:rsidRPr="23CCF81C">
        <w:rPr>
          <w:rFonts w:asciiTheme="minorHAnsi" w:hAnsiTheme="minorHAnsi" w:cstheme="minorBidi"/>
          <w:color w:val="221E1F"/>
        </w:rPr>
        <w:t>is</w:t>
      </w:r>
      <w:r w:rsidR="00CE399C" w:rsidRPr="23CCF81C">
        <w:rPr>
          <w:rFonts w:asciiTheme="minorHAnsi" w:hAnsiTheme="minorHAnsi" w:cstheme="minorBidi"/>
          <w:color w:val="221E1F"/>
        </w:rPr>
        <w:t xml:space="preserve"> Gender Pay Ga</w:t>
      </w:r>
      <w:r w:rsidR="00B344E3" w:rsidRPr="23CCF81C">
        <w:rPr>
          <w:rFonts w:asciiTheme="minorHAnsi" w:hAnsiTheme="minorHAnsi" w:cstheme="minorBidi"/>
          <w:color w:val="221E1F"/>
        </w:rPr>
        <w:t>p.</w:t>
      </w:r>
    </w:p>
    <w:p w14:paraId="744FDC46" w14:textId="77777777" w:rsidR="004B7E30" w:rsidRPr="009A2400" w:rsidRDefault="004B7E30" w:rsidP="004B7E30">
      <w:pPr>
        <w:pStyle w:val="Default"/>
        <w:jc w:val="both"/>
        <w:rPr>
          <w:rFonts w:asciiTheme="minorHAnsi" w:hAnsiTheme="minorHAnsi" w:cstheme="minorHAnsi"/>
          <w:color w:val="221E1F"/>
        </w:rPr>
      </w:pPr>
    </w:p>
    <w:p w14:paraId="36C26E21" w14:textId="1EBAB6A8" w:rsidR="004B7E30" w:rsidRDefault="004B7E30" w:rsidP="004B7E30">
      <w:pPr>
        <w:pStyle w:val="Default"/>
        <w:jc w:val="both"/>
        <w:rPr>
          <w:rFonts w:asciiTheme="minorHAnsi" w:hAnsiTheme="minorHAnsi" w:cstheme="minorHAnsi"/>
          <w:b/>
          <w:color w:val="221E1F"/>
        </w:rPr>
      </w:pPr>
      <w:r w:rsidRPr="009A2400">
        <w:rPr>
          <w:rFonts w:asciiTheme="minorHAnsi" w:hAnsiTheme="minorHAnsi" w:cstheme="minorHAnsi"/>
          <w:b/>
          <w:color w:val="221E1F"/>
        </w:rPr>
        <w:t>The data in this report refers to</w:t>
      </w:r>
      <w:r>
        <w:rPr>
          <w:rFonts w:asciiTheme="minorHAnsi" w:hAnsiTheme="minorHAnsi" w:cstheme="minorHAnsi"/>
          <w:b/>
          <w:color w:val="221E1F"/>
        </w:rPr>
        <w:t xml:space="preserve"> a snapshot date of 31 March 2020</w:t>
      </w:r>
    </w:p>
    <w:p w14:paraId="7BFDFC2E" w14:textId="03D09FF0" w:rsidR="0096435F" w:rsidRDefault="0096435F" w:rsidP="004B7E30">
      <w:pPr>
        <w:pStyle w:val="Default"/>
        <w:jc w:val="both"/>
        <w:rPr>
          <w:rFonts w:asciiTheme="minorHAnsi" w:hAnsiTheme="minorHAnsi" w:cstheme="minorHAnsi"/>
          <w:b/>
          <w:color w:val="221E1F"/>
        </w:rPr>
      </w:pPr>
    </w:p>
    <w:p w14:paraId="759477B3" w14:textId="77777777" w:rsidR="0096435F" w:rsidRDefault="0096435F" w:rsidP="004B7E30">
      <w:pPr>
        <w:pStyle w:val="Default"/>
        <w:jc w:val="both"/>
        <w:rPr>
          <w:rFonts w:asciiTheme="minorHAnsi" w:hAnsiTheme="minorHAnsi" w:cstheme="minorHAnsi"/>
          <w:b/>
          <w:color w:val="221E1F"/>
        </w:rPr>
      </w:pPr>
    </w:p>
    <w:tbl>
      <w:tblPr>
        <w:tblStyle w:val="TableGrid"/>
        <w:tblW w:w="8217" w:type="dxa"/>
        <w:tblLook w:val="04A0" w:firstRow="1" w:lastRow="0" w:firstColumn="1" w:lastColumn="0" w:noHBand="0" w:noVBand="1"/>
      </w:tblPr>
      <w:tblGrid>
        <w:gridCol w:w="2122"/>
        <w:gridCol w:w="1842"/>
        <w:gridCol w:w="2127"/>
        <w:gridCol w:w="2126"/>
      </w:tblGrid>
      <w:tr w:rsidR="004B7E30" w:rsidRPr="00AB127C" w14:paraId="1AD92AB2" w14:textId="77777777" w:rsidTr="007D66A9">
        <w:tc>
          <w:tcPr>
            <w:tcW w:w="2122" w:type="dxa"/>
          </w:tcPr>
          <w:p w14:paraId="50AEAA37" w14:textId="77777777" w:rsidR="004B7E30" w:rsidRPr="00AB127C" w:rsidRDefault="004B7E30" w:rsidP="007D66A9">
            <w:pPr>
              <w:jc w:val="both"/>
              <w:rPr>
                <w:rFonts w:cstheme="minorHAnsi"/>
                <w:sz w:val="24"/>
                <w:szCs w:val="24"/>
              </w:rPr>
            </w:pPr>
          </w:p>
        </w:tc>
        <w:tc>
          <w:tcPr>
            <w:tcW w:w="1842" w:type="dxa"/>
          </w:tcPr>
          <w:p w14:paraId="57C4DEFD" w14:textId="77777777" w:rsidR="004B7E30" w:rsidRPr="00AB127C" w:rsidRDefault="004B7E30" w:rsidP="007D66A9">
            <w:pPr>
              <w:jc w:val="both"/>
              <w:rPr>
                <w:rFonts w:cstheme="minorHAnsi"/>
                <w:b/>
                <w:sz w:val="24"/>
                <w:szCs w:val="24"/>
              </w:rPr>
            </w:pPr>
          </w:p>
          <w:p w14:paraId="36AB760A" w14:textId="77777777" w:rsidR="004B7E30" w:rsidRPr="00AB127C" w:rsidRDefault="004B7E30" w:rsidP="007D66A9">
            <w:pPr>
              <w:jc w:val="both"/>
              <w:rPr>
                <w:rFonts w:cstheme="minorHAnsi"/>
                <w:b/>
                <w:sz w:val="24"/>
                <w:szCs w:val="24"/>
              </w:rPr>
            </w:pPr>
          </w:p>
        </w:tc>
        <w:tc>
          <w:tcPr>
            <w:tcW w:w="4253" w:type="dxa"/>
            <w:gridSpan w:val="2"/>
          </w:tcPr>
          <w:p w14:paraId="6ADC2736" w14:textId="77777777" w:rsidR="004B7E30" w:rsidRPr="00AB127C" w:rsidRDefault="004B7E30" w:rsidP="007D66A9">
            <w:pPr>
              <w:jc w:val="center"/>
              <w:rPr>
                <w:rFonts w:cstheme="minorHAnsi"/>
                <w:b/>
                <w:color w:val="00B050"/>
                <w:sz w:val="24"/>
                <w:szCs w:val="24"/>
              </w:rPr>
            </w:pPr>
            <w:r w:rsidRPr="00AB127C">
              <w:rPr>
                <w:rFonts w:cstheme="minorHAnsi"/>
                <w:b/>
                <w:color w:val="00B050"/>
                <w:sz w:val="24"/>
                <w:szCs w:val="24"/>
              </w:rPr>
              <w:t>University of Cumbria</w:t>
            </w:r>
          </w:p>
        </w:tc>
      </w:tr>
      <w:tr w:rsidR="004B7E30" w:rsidRPr="00AB127C" w14:paraId="784DB8E9" w14:textId="77777777" w:rsidTr="007D66A9">
        <w:tc>
          <w:tcPr>
            <w:tcW w:w="2122" w:type="dxa"/>
          </w:tcPr>
          <w:p w14:paraId="1847ADAE" w14:textId="77777777" w:rsidR="004B7E30" w:rsidRPr="00AB127C" w:rsidRDefault="004B7E30" w:rsidP="007D66A9">
            <w:pPr>
              <w:jc w:val="both"/>
              <w:rPr>
                <w:rFonts w:cstheme="minorHAnsi"/>
                <w:sz w:val="24"/>
                <w:szCs w:val="24"/>
              </w:rPr>
            </w:pPr>
          </w:p>
        </w:tc>
        <w:tc>
          <w:tcPr>
            <w:tcW w:w="1842" w:type="dxa"/>
          </w:tcPr>
          <w:p w14:paraId="10DEBCD6" w14:textId="1709E210" w:rsidR="004B7E30" w:rsidRPr="000167E6" w:rsidRDefault="004B7E30" w:rsidP="007D66A9">
            <w:pPr>
              <w:jc w:val="both"/>
              <w:rPr>
                <w:rFonts w:cstheme="minorHAnsi"/>
                <w:b/>
                <w:sz w:val="24"/>
                <w:szCs w:val="24"/>
              </w:rPr>
            </w:pPr>
            <w:r w:rsidRPr="000167E6">
              <w:rPr>
                <w:rFonts w:cstheme="minorHAnsi"/>
                <w:b/>
                <w:sz w:val="24"/>
                <w:szCs w:val="24"/>
              </w:rPr>
              <w:t xml:space="preserve">HE Sector </w:t>
            </w:r>
            <w:r w:rsidR="000167E6" w:rsidRPr="000167E6">
              <w:rPr>
                <w:rFonts w:cstheme="minorHAnsi"/>
                <w:b/>
                <w:sz w:val="24"/>
                <w:szCs w:val="24"/>
              </w:rPr>
              <w:t>2019</w:t>
            </w:r>
          </w:p>
        </w:tc>
        <w:tc>
          <w:tcPr>
            <w:tcW w:w="2127" w:type="dxa"/>
          </w:tcPr>
          <w:p w14:paraId="4BFF224D" w14:textId="1002E9C2" w:rsidR="004B7E30" w:rsidRPr="00AB127C" w:rsidRDefault="004B7E30" w:rsidP="007D66A9">
            <w:pPr>
              <w:jc w:val="both"/>
              <w:rPr>
                <w:rFonts w:cstheme="minorHAnsi"/>
                <w:b/>
                <w:sz w:val="24"/>
                <w:szCs w:val="24"/>
              </w:rPr>
            </w:pPr>
            <w:r>
              <w:rPr>
                <w:rFonts w:cstheme="minorHAnsi"/>
                <w:b/>
                <w:sz w:val="24"/>
                <w:szCs w:val="24"/>
              </w:rPr>
              <w:t>As at 31.03.19</w:t>
            </w:r>
          </w:p>
        </w:tc>
        <w:tc>
          <w:tcPr>
            <w:tcW w:w="2126" w:type="dxa"/>
          </w:tcPr>
          <w:p w14:paraId="15D3C588" w14:textId="6E40FC13" w:rsidR="004B7E30" w:rsidRPr="00AB127C" w:rsidRDefault="004B7E30" w:rsidP="007D66A9">
            <w:pPr>
              <w:jc w:val="both"/>
              <w:rPr>
                <w:rFonts w:cstheme="minorHAnsi"/>
                <w:b/>
                <w:sz w:val="24"/>
                <w:szCs w:val="24"/>
              </w:rPr>
            </w:pPr>
            <w:r>
              <w:rPr>
                <w:rFonts w:cstheme="minorHAnsi"/>
                <w:b/>
                <w:sz w:val="24"/>
                <w:szCs w:val="24"/>
              </w:rPr>
              <w:t>As at 31.03.20</w:t>
            </w:r>
          </w:p>
        </w:tc>
      </w:tr>
      <w:tr w:rsidR="004B7E30" w:rsidRPr="00AB127C" w14:paraId="3A22E18B" w14:textId="77777777" w:rsidTr="007D66A9">
        <w:tc>
          <w:tcPr>
            <w:tcW w:w="2122" w:type="dxa"/>
          </w:tcPr>
          <w:p w14:paraId="58BBBFEC" w14:textId="77777777" w:rsidR="004B7E30" w:rsidRPr="00AB127C" w:rsidRDefault="004B7E30" w:rsidP="007D66A9">
            <w:pPr>
              <w:jc w:val="both"/>
              <w:rPr>
                <w:rFonts w:cstheme="minorHAnsi"/>
                <w:b/>
                <w:sz w:val="24"/>
                <w:szCs w:val="24"/>
              </w:rPr>
            </w:pPr>
            <w:r w:rsidRPr="00AB127C">
              <w:rPr>
                <w:rFonts w:cstheme="minorHAnsi"/>
                <w:b/>
                <w:sz w:val="24"/>
                <w:szCs w:val="24"/>
              </w:rPr>
              <w:t xml:space="preserve">Mean </w:t>
            </w:r>
            <w:r w:rsidRPr="00AB127C">
              <w:rPr>
                <w:rFonts w:cstheme="minorHAnsi"/>
                <w:sz w:val="24"/>
                <w:szCs w:val="24"/>
              </w:rPr>
              <w:t>Pay Gap</w:t>
            </w:r>
          </w:p>
        </w:tc>
        <w:tc>
          <w:tcPr>
            <w:tcW w:w="1842" w:type="dxa"/>
          </w:tcPr>
          <w:p w14:paraId="35BEB58C" w14:textId="432DF0AB" w:rsidR="004B7E30" w:rsidRPr="000167E6" w:rsidRDefault="000167E6" w:rsidP="007D66A9">
            <w:pPr>
              <w:jc w:val="both"/>
              <w:rPr>
                <w:rFonts w:cstheme="minorHAnsi"/>
                <w:sz w:val="24"/>
                <w:szCs w:val="24"/>
              </w:rPr>
            </w:pPr>
            <w:r w:rsidRPr="000167E6">
              <w:rPr>
                <w:rFonts w:cstheme="minorHAnsi"/>
                <w:sz w:val="24"/>
                <w:szCs w:val="24"/>
              </w:rPr>
              <w:t>14.7</w:t>
            </w:r>
            <w:r w:rsidR="004B7E30" w:rsidRPr="000167E6">
              <w:rPr>
                <w:rFonts w:cstheme="minorHAnsi"/>
                <w:sz w:val="24"/>
                <w:szCs w:val="24"/>
              </w:rPr>
              <w:t>%</w:t>
            </w:r>
          </w:p>
        </w:tc>
        <w:tc>
          <w:tcPr>
            <w:tcW w:w="2127" w:type="dxa"/>
          </w:tcPr>
          <w:p w14:paraId="70479C84" w14:textId="09A0BAB3" w:rsidR="004B7E30" w:rsidRPr="00AB127C" w:rsidRDefault="004B7E30" w:rsidP="007D66A9">
            <w:pPr>
              <w:jc w:val="both"/>
              <w:rPr>
                <w:rFonts w:cstheme="minorHAnsi"/>
                <w:sz w:val="24"/>
                <w:szCs w:val="24"/>
              </w:rPr>
            </w:pPr>
            <w:r>
              <w:rPr>
                <w:rFonts w:cstheme="minorHAnsi"/>
                <w:sz w:val="24"/>
                <w:szCs w:val="24"/>
              </w:rPr>
              <w:t>11.1</w:t>
            </w:r>
            <w:r w:rsidRPr="00AB127C">
              <w:rPr>
                <w:rFonts w:cstheme="minorHAnsi"/>
                <w:sz w:val="24"/>
                <w:szCs w:val="24"/>
              </w:rPr>
              <w:t>%</w:t>
            </w:r>
          </w:p>
        </w:tc>
        <w:tc>
          <w:tcPr>
            <w:tcW w:w="2126" w:type="dxa"/>
          </w:tcPr>
          <w:p w14:paraId="064C59EF" w14:textId="19D77A65" w:rsidR="004B7E30" w:rsidRPr="00AB127C" w:rsidRDefault="002F0AB2" w:rsidP="007D66A9">
            <w:pPr>
              <w:jc w:val="both"/>
              <w:rPr>
                <w:rFonts w:cstheme="minorHAnsi"/>
                <w:sz w:val="24"/>
                <w:szCs w:val="24"/>
              </w:rPr>
            </w:pPr>
            <w:r>
              <w:rPr>
                <w:rFonts w:cstheme="minorHAnsi"/>
                <w:sz w:val="24"/>
                <w:szCs w:val="24"/>
              </w:rPr>
              <w:t>9.1%</w:t>
            </w:r>
          </w:p>
        </w:tc>
      </w:tr>
      <w:tr w:rsidR="004B7E30" w:rsidRPr="00AB127C" w14:paraId="227A6D00" w14:textId="77777777" w:rsidTr="007D66A9">
        <w:tc>
          <w:tcPr>
            <w:tcW w:w="2122" w:type="dxa"/>
          </w:tcPr>
          <w:p w14:paraId="6733626B" w14:textId="77777777" w:rsidR="004B7E30" w:rsidRPr="00AB127C" w:rsidRDefault="004B7E30" w:rsidP="007D66A9">
            <w:pPr>
              <w:jc w:val="both"/>
              <w:rPr>
                <w:rFonts w:cstheme="minorHAnsi"/>
                <w:b/>
                <w:sz w:val="24"/>
                <w:szCs w:val="24"/>
              </w:rPr>
            </w:pPr>
            <w:r w:rsidRPr="00AB127C">
              <w:rPr>
                <w:rFonts w:cstheme="minorHAnsi"/>
                <w:b/>
                <w:sz w:val="24"/>
                <w:szCs w:val="24"/>
              </w:rPr>
              <w:t xml:space="preserve">Median </w:t>
            </w:r>
            <w:r w:rsidRPr="00AB127C">
              <w:rPr>
                <w:rFonts w:cstheme="minorHAnsi"/>
                <w:sz w:val="24"/>
                <w:szCs w:val="24"/>
              </w:rPr>
              <w:t>Pay Gap</w:t>
            </w:r>
          </w:p>
        </w:tc>
        <w:tc>
          <w:tcPr>
            <w:tcW w:w="1842" w:type="dxa"/>
          </w:tcPr>
          <w:p w14:paraId="3953834E" w14:textId="631C9425" w:rsidR="004B7E30" w:rsidRPr="000167E6" w:rsidRDefault="000167E6" w:rsidP="007D66A9">
            <w:pPr>
              <w:jc w:val="both"/>
              <w:rPr>
                <w:rFonts w:cstheme="minorHAnsi"/>
                <w:sz w:val="24"/>
                <w:szCs w:val="24"/>
              </w:rPr>
            </w:pPr>
            <w:r w:rsidRPr="000167E6">
              <w:rPr>
                <w:rFonts w:cstheme="minorHAnsi"/>
                <w:sz w:val="24"/>
                <w:szCs w:val="24"/>
              </w:rPr>
              <w:t>13.</w:t>
            </w:r>
            <w:r w:rsidR="004B7E30" w:rsidRPr="000167E6">
              <w:rPr>
                <w:rFonts w:cstheme="minorHAnsi"/>
                <w:sz w:val="24"/>
                <w:szCs w:val="24"/>
              </w:rPr>
              <w:t>%</w:t>
            </w:r>
          </w:p>
        </w:tc>
        <w:tc>
          <w:tcPr>
            <w:tcW w:w="2127" w:type="dxa"/>
          </w:tcPr>
          <w:p w14:paraId="53E11868" w14:textId="4100FF7D" w:rsidR="004B7E30" w:rsidRPr="00AB127C" w:rsidRDefault="004B7E30" w:rsidP="007D66A9">
            <w:pPr>
              <w:jc w:val="both"/>
              <w:rPr>
                <w:rFonts w:cstheme="minorHAnsi"/>
                <w:sz w:val="24"/>
                <w:szCs w:val="24"/>
              </w:rPr>
            </w:pPr>
            <w:r>
              <w:rPr>
                <w:rFonts w:cstheme="minorHAnsi"/>
                <w:sz w:val="24"/>
                <w:szCs w:val="24"/>
              </w:rPr>
              <w:t>8.6</w:t>
            </w:r>
            <w:r w:rsidRPr="00AB127C">
              <w:rPr>
                <w:rFonts w:cstheme="minorHAnsi"/>
                <w:sz w:val="24"/>
                <w:szCs w:val="24"/>
              </w:rPr>
              <w:t>%</w:t>
            </w:r>
          </w:p>
        </w:tc>
        <w:tc>
          <w:tcPr>
            <w:tcW w:w="2126" w:type="dxa"/>
          </w:tcPr>
          <w:p w14:paraId="7D723C26" w14:textId="424CF4D7" w:rsidR="004B7E30" w:rsidRPr="00AB127C" w:rsidRDefault="002F0AB2" w:rsidP="007D66A9">
            <w:pPr>
              <w:jc w:val="both"/>
              <w:rPr>
                <w:rFonts w:cstheme="minorHAnsi"/>
                <w:sz w:val="24"/>
                <w:szCs w:val="24"/>
              </w:rPr>
            </w:pPr>
            <w:r>
              <w:rPr>
                <w:rFonts w:cstheme="minorHAnsi"/>
                <w:sz w:val="24"/>
                <w:szCs w:val="24"/>
              </w:rPr>
              <w:t>7.5%</w:t>
            </w:r>
          </w:p>
        </w:tc>
      </w:tr>
    </w:tbl>
    <w:p w14:paraId="4DB461C1" w14:textId="77777777" w:rsidR="004B7E30" w:rsidRPr="00AB127C" w:rsidRDefault="004B7E30" w:rsidP="004B7E30">
      <w:pPr>
        <w:pStyle w:val="Default"/>
        <w:jc w:val="both"/>
        <w:rPr>
          <w:rFonts w:asciiTheme="minorHAnsi" w:hAnsiTheme="minorHAnsi" w:cstheme="minorHAnsi"/>
          <w:color w:val="221E1F"/>
          <w:u w:val="single"/>
        </w:rPr>
      </w:pPr>
    </w:p>
    <w:p w14:paraId="1C171144" w14:textId="1A0CEEEA" w:rsidR="004B7E30" w:rsidRPr="00AB127C" w:rsidRDefault="004B7E30" w:rsidP="004B7E30">
      <w:pPr>
        <w:jc w:val="both"/>
        <w:rPr>
          <w:sz w:val="24"/>
          <w:szCs w:val="24"/>
        </w:rPr>
      </w:pPr>
      <w:r w:rsidRPr="23CCF81C">
        <w:rPr>
          <w:sz w:val="24"/>
          <w:szCs w:val="24"/>
        </w:rPr>
        <w:t>The Uni</w:t>
      </w:r>
      <w:r w:rsidR="000173D5">
        <w:rPr>
          <w:sz w:val="24"/>
          <w:szCs w:val="24"/>
        </w:rPr>
        <w:t>versity has a pay gap, which is</w:t>
      </w:r>
      <w:r w:rsidRPr="23CCF81C">
        <w:rPr>
          <w:sz w:val="24"/>
          <w:szCs w:val="24"/>
        </w:rPr>
        <w:t xml:space="preserve"> less than the sector average. </w:t>
      </w:r>
    </w:p>
    <w:p w14:paraId="67B649F1" w14:textId="77777777" w:rsidR="004B7E30" w:rsidRPr="004B7E30" w:rsidRDefault="004B7E30" w:rsidP="004B7E30">
      <w:pPr>
        <w:spacing w:after="160" w:line="259" w:lineRule="auto"/>
        <w:rPr>
          <w:rFonts w:cstheme="minorHAnsi"/>
          <w:b/>
          <w:sz w:val="24"/>
          <w:szCs w:val="24"/>
        </w:rPr>
      </w:pPr>
      <w:r w:rsidRPr="00942DD8">
        <w:rPr>
          <w:rFonts w:cstheme="minorHAnsi"/>
          <w:b/>
          <w:sz w:val="26"/>
          <w:szCs w:val="26"/>
        </w:rPr>
        <w:t>Analysis</w:t>
      </w:r>
    </w:p>
    <w:p w14:paraId="078F023C" w14:textId="7C3FA646" w:rsidR="00C93B2B" w:rsidRDefault="00952F50" w:rsidP="000C1BE6">
      <w:pPr>
        <w:rPr>
          <w:sz w:val="24"/>
          <w:szCs w:val="24"/>
        </w:rPr>
      </w:pPr>
      <w:r w:rsidRPr="23CCF81C">
        <w:rPr>
          <w:sz w:val="24"/>
          <w:szCs w:val="24"/>
        </w:rPr>
        <w:t>T</w:t>
      </w:r>
      <w:r w:rsidR="00C93B2B" w:rsidRPr="23CCF81C">
        <w:rPr>
          <w:sz w:val="24"/>
          <w:szCs w:val="24"/>
        </w:rPr>
        <w:t>he</w:t>
      </w:r>
      <w:r w:rsidRPr="23CCF81C">
        <w:rPr>
          <w:sz w:val="24"/>
          <w:szCs w:val="24"/>
        </w:rPr>
        <w:t xml:space="preserve"> university’s</w:t>
      </w:r>
      <w:r w:rsidR="00C93B2B" w:rsidRPr="23CCF81C">
        <w:rPr>
          <w:sz w:val="24"/>
          <w:szCs w:val="24"/>
        </w:rPr>
        <w:t xml:space="preserve"> median and mean pay gaps have decreased since last year’s report. The median has decreased by 1.1% to 7.5%, remaining </w:t>
      </w:r>
      <w:r w:rsidR="000173D5" w:rsidRPr="23CCF81C">
        <w:rPr>
          <w:sz w:val="24"/>
          <w:szCs w:val="24"/>
        </w:rPr>
        <w:t>favorably</w:t>
      </w:r>
      <w:r w:rsidR="000173D5">
        <w:rPr>
          <w:sz w:val="24"/>
          <w:szCs w:val="24"/>
        </w:rPr>
        <w:t xml:space="preserve"> </w:t>
      </w:r>
      <w:r w:rsidR="00C93B2B" w:rsidRPr="23CCF81C">
        <w:rPr>
          <w:sz w:val="24"/>
          <w:szCs w:val="24"/>
        </w:rPr>
        <w:t>ahead of the sector at 13%. The mean gap has decreased to 9.1%, falling 2% from 2019</w:t>
      </w:r>
      <w:r w:rsidRPr="23CCF81C">
        <w:rPr>
          <w:sz w:val="24"/>
          <w:szCs w:val="24"/>
        </w:rPr>
        <w:t xml:space="preserve"> and remaining ahead of the sector at 14.7%</w:t>
      </w:r>
      <w:r w:rsidR="00C93B2B" w:rsidRPr="23CCF81C">
        <w:rPr>
          <w:sz w:val="24"/>
          <w:szCs w:val="24"/>
        </w:rPr>
        <w:t xml:space="preserve">. </w:t>
      </w:r>
    </w:p>
    <w:p w14:paraId="26BA9BA7" w14:textId="77777777" w:rsidR="0096435F" w:rsidRDefault="0096435F" w:rsidP="000C1BE6">
      <w:pPr>
        <w:rPr>
          <w:sz w:val="24"/>
          <w:szCs w:val="24"/>
        </w:rPr>
      </w:pPr>
    </w:p>
    <w:p w14:paraId="6D935106" w14:textId="7163EEC5" w:rsidR="004B7E30" w:rsidRDefault="00C93B2B" w:rsidP="000C1BE6">
      <w:pPr>
        <w:rPr>
          <w:sz w:val="24"/>
          <w:szCs w:val="24"/>
        </w:rPr>
      </w:pPr>
      <w:r>
        <w:rPr>
          <w:sz w:val="24"/>
          <w:szCs w:val="24"/>
        </w:rPr>
        <w:t xml:space="preserve">The </w:t>
      </w:r>
      <w:r w:rsidR="000173D5">
        <w:rPr>
          <w:sz w:val="24"/>
          <w:szCs w:val="24"/>
        </w:rPr>
        <w:t>university’s</w:t>
      </w:r>
      <w:r w:rsidR="00952F50">
        <w:rPr>
          <w:sz w:val="24"/>
          <w:szCs w:val="24"/>
        </w:rPr>
        <w:t xml:space="preserve"> </w:t>
      </w:r>
      <w:r>
        <w:rPr>
          <w:sz w:val="24"/>
          <w:szCs w:val="24"/>
        </w:rPr>
        <w:t xml:space="preserve">mean gap </w:t>
      </w:r>
      <w:r w:rsidR="0096435F">
        <w:rPr>
          <w:sz w:val="24"/>
          <w:szCs w:val="24"/>
        </w:rPr>
        <w:t>continues to</w:t>
      </w:r>
      <w:r>
        <w:rPr>
          <w:sz w:val="24"/>
          <w:szCs w:val="24"/>
        </w:rPr>
        <w:t xml:space="preserve"> fluctuate since 2018, rising and falling from between 11.8% to 9.1% annually. The median gap has been more stable in previous years and it is positive to see it decrease to its lowest figure</w:t>
      </w:r>
      <w:r w:rsidR="0096435F">
        <w:rPr>
          <w:sz w:val="24"/>
          <w:szCs w:val="24"/>
        </w:rPr>
        <w:t xml:space="preserve"> yet,</w:t>
      </w:r>
      <w:r>
        <w:rPr>
          <w:sz w:val="24"/>
          <w:szCs w:val="24"/>
        </w:rPr>
        <w:t xml:space="preserve"> of 7.5% in this report.</w:t>
      </w:r>
    </w:p>
    <w:p w14:paraId="58BA905A" w14:textId="0A770EF8" w:rsidR="00C93B2B" w:rsidRDefault="00C93B2B" w:rsidP="000C1BE6">
      <w:pPr>
        <w:rPr>
          <w:sz w:val="24"/>
          <w:szCs w:val="24"/>
        </w:rPr>
      </w:pPr>
    </w:p>
    <w:p w14:paraId="3448A6BD" w14:textId="10076BAC" w:rsidR="004B7E30" w:rsidRDefault="004B7E30" w:rsidP="000C1BE6">
      <w:pPr>
        <w:rPr>
          <w:sz w:val="24"/>
          <w:szCs w:val="24"/>
        </w:rPr>
      </w:pPr>
    </w:p>
    <w:p w14:paraId="35022AE8" w14:textId="77777777" w:rsidR="004B7E30" w:rsidRPr="00942DD8" w:rsidRDefault="004B7E30" w:rsidP="004B7E30">
      <w:pPr>
        <w:pStyle w:val="Default"/>
        <w:jc w:val="both"/>
        <w:rPr>
          <w:rFonts w:asciiTheme="minorHAnsi" w:hAnsiTheme="minorHAnsi" w:cstheme="minorHAnsi"/>
          <w:b/>
          <w:color w:val="221E1F"/>
          <w:sz w:val="26"/>
          <w:szCs w:val="26"/>
        </w:rPr>
      </w:pPr>
      <w:r w:rsidRPr="00942DD8">
        <w:rPr>
          <w:rFonts w:asciiTheme="minorHAnsi" w:hAnsiTheme="minorHAnsi" w:cstheme="minorHAnsi"/>
          <w:b/>
          <w:color w:val="221E1F"/>
          <w:sz w:val="26"/>
          <w:szCs w:val="26"/>
        </w:rPr>
        <w:t>Staffing profile</w:t>
      </w:r>
    </w:p>
    <w:p w14:paraId="2F34CD51" w14:textId="77777777" w:rsidR="004B7E30" w:rsidRDefault="004B7E30" w:rsidP="004B7E30">
      <w:pPr>
        <w:pStyle w:val="Default"/>
        <w:jc w:val="both"/>
        <w:rPr>
          <w:rFonts w:asciiTheme="minorHAnsi" w:hAnsiTheme="minorHAnsi" w:cstheme="minorHAnsi"/>
          <w:b/>
          <w:color w:val="221E1F"/>
        </w:rPr>
      </w:pPr>
    </w:p>
    <w:p w14:paraId="12BBE553" w14:textId="6724C1BF" w:rsidR="004B7E30" w:rsidRDefault="004B7E30" w:rsidP="004B7E30">
      <w:pPr>
        <w:rPr>
          <w:rFonts w:cstheme="minorHAnsi"/>
          <w:b/>
          <w:sz w:val="26"/>
          <w:szCs w:val="26"/>
        </w:rPr>
      </w:pPr>
      <w:r w:rsidRPr="00942DD8">
        <w:rPr>
          <w:rFonts w:cstheme="minorHAnsi"/>
          <w:b/>
          <w:sz w:val="26"/>
          <w:szCs w:val="26"/>
        </w:rPr>
        <w:t xml:space="preserve">Total number of staff = </w:t>
      </w:r>
      <w:r>
        <w:rPr>
          <w:rFonts w:cstheme="minorHAnsi"/>
          <w:b/>
          <w:sz w:val="26"/>
          <w:szCs w:val="26"/>
        </w:rPr>
        <w:t>1067</w:t>
      </w:r>
      <w:r w:rsidRPr="00942DD8">
        <w:rPr>
          <w:rFonts w:cstheme="minorHAnsi"/>
          <w:b/>
          <w:sz w:val="26"/>
          <w:szCs w:val="26"/>
        </w:rPr>
        <w:t xml:space="preserve">  </w:t>
      </w:r>
      <w:r>
        <w:rPr>
          <w:rFonts w:cstheme="minorHAnsi"/>
          <w:b/>
          <w:sz w:val="26"/>
          <w:szCs w:val="26"/>
        </w:rPr>
        <w:tab/>
        <w:t>691</w:t>
      </w:r>
      <w:r w:rsidRPr="00942DD8">
        <w:rPr>
          <w:rFonts w:cstheme="minorHAnsi"/>
          <w:b/>
          <w:sz w:val="26"/>
          <w:szCs w:val="26"/>
        </w:rPr>
        <w:t xml:space="preserve"> Female - </w:t>
      </w:r>
      <w:r w:rsidR="002A3B3A">
        <w:rPr>
          <w:rFonts w:cstheme="minorHAnsi"/>
          <w:b/>
          <w:sz w:val="26"/>
          <w:szCs w:val="26"/>
        </w:rPr>
        <w:t>65</w:t>
      </w:r>
      <w:r w:rsidRPr="00942DD8">
        <w:rPr>
          <w:rFonts w:cstheme="minorHAnsi"/>
          <w:b/>
          <w:sz w:val="26"/>
          <w:szCs w:val="26"/>
        </w:rPr>
        <w:t xml:space="preserve">% and 376 Male - </w:t>
      </w:r>
      <w:r w:rsidR="002A3B3A">
        <w:rPr>
          <w:rFonts w:cstheme="minorHAnsi"/>
          <w:b/>
          <w:sz w:val="26"/>
          <w:szCs w:val="26"/>
        </w:rPr>
        <w:t>35</w:t>
      </w:r>
      <w:r w:rsidRPr="00942DD8">
        <w:rPr>
          <w:rFonts w:cstheme="minorHAnsi"/>
          <w:b/>
          <w:sz w:val="26"/>
          <w:szCs w:val="26"/>
        </w:rPr>
        <w:t>%</w:t>
      </w:r>
    </w:p>
    <w:p w14:paraId="0829AB96" w14:textId="451613A4" w:rsidR="00BE204B" w:rsidRDefault="00BE204B" w:rsidP="004B7E30">
      <w:pPr>
        <w:rPr>
          <w:rFonts w:cstheme="minorHAnsi"/>
          <w:b/>
          <w:sz w:val="26"/>
          <w:szCs w:val="26"/>
        </w:rPr>
      </w:pPr>
    </w:p>
    <w:p w14:paraId="7AFC45E1" w14:textId="21C60ED2" w:rsidR="00BE204B" w:rsidRDefault="00BE204B" w:rsidP="004B7E30">
      <w:pPr>
        <w:rPr>
          <w:sz w:val="24"/>
          <w:szCs w:val="24"/>
        </w:rPr>
      </w:pPr>
      <w:r>
        <w:rPr>
          <w:noProof/>
          <w:sz w:val="24"/>
          <w:szCs w:val="24"/>
          <w:lang w:val="en-GB" w:eastAsia="en-GB"/>
        </w:rPr>
        <w:drawing>
          <wp:inline distT="0" distB="0" distL="0" distR="0" wp14:anchorId="1F7D1987" wp14:editId="391E065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0073A6" w14:textId="633B2619" w:rsidR="23CCF81C" w:rsidRDefault="23CCF81C" w:rsidP="23CCF81C">
      <w:pPr>
        <w:rPr>
          <w:sz w:val="24"/>
          <w:szCs w:val="24"/>
        </w:rPr>
      </w:pPr>
    </w:p>
    <w:p w14:paraId="4225C11F" w14:textId="1B2A59A1" w:rsidR="00215156" w:rsidRDefault="00215156" w:rsidP="00215156">
      <w:pPr>
        <w:pStyle w:val="Default"/>
        <w:jc w:val="both"/>
        <w:rPr>
          <w:rFonts w:asciiTheme="minorHAnsi" w:hAnsiTheme="minorHAnsi" w:cstheme="minorHAnsi"/>
          <w:color w:val="221E1F"/>
        </w:rPr>
      </w:pPr>
      <w:r w:rsidRPr="00A10CCA">
        <w:rPr>
          <w:rFonts w:asciiTheme="minorHAnsi" w:hAnsiTheme="minorHAnsi" w:cstheme="minorHAnsi"/>
        </w:rPr>
        <w:t>The</w:t>
      </w:r>
      <w:r w:rsidRPr="00A10CCA">
        <w:rPr>
          <w:rFonts w:asciiTheme="minorHAnsi" w:hAnsiTheme="minorHAnsi" w:cstheme="minorHAnsi"/>
          <w:spacing w:val="1"/>
        </w:rPr>
        <w:t xml:space="preserve"> </w:t>
      </w:r>
      <w:r w:rsidRPr="00A10CCA">
        <w:rPr>
          <w:rFonts w:asciiTheme="minorHAnsi" w:hAnsiTheme="minorHAnsi" w:cstheme="minorHAnsi"/>
        </w:rPr>
        <w:t>quartiles</w:t>
      </w:r>
      <w:r w:rsidRPr="00A10CCA">
        <w:rPr>
          <w:rFonts w:asciiTheme="minorHAnsi" w:hAnsiTheme="minorHAnsi" w:cstheme="minorHAnsi"/>
          <w:spacing w:val="-6"/>
        </w:rPr>
        <w:t xml:space="preserve"> </w:t>
      </w:r>
      <w:r>
        <w:rPr>
          <w:rFonts w:asciiTheme="minorHAnsi" w:hAnsiTheme="minorHAnsi" w:cstheme="minorHAnsi"/>
          <w:spacing w:val="-6"/>
        </w:rPr>
        <w:t>(</w:t>
      </w:r>
      <w:r w:rsidR="0096435F">
        <w:rPr>
          <w:rFonts w:asciiTheme="minorHAnsi" w:hAnsiTheme="minorHAnsi" w:cstheme="minorHAnsi"/>
          <w:spacing w:val="-6"/>
        </w:rPr>
        <w:t>page 5</w:t>
      </w:r>
      <w:r>
        <w:rPr>
          <w:rFonts w:asciiTheme="minorHAnsi" w:hAnsiTheme="minorHAnsi" w:cstheme="minorHAnsi"/>
          <w:spacing w:val="-6"/>
        </w:rPr>
        <w:t xml:space="preserve">) </w:t>
      </w:r>
      <w:r w:rsidRPr="00A10CCA">
        <w:rPr>
          <w:rFonts w:asciiTheme="minorHAnsi" w:hAnsiTheme="minorHAnsi" w:cstheme="minorHAnsi"/>
        </w:rPr>
        <w:t>have</w:t>
      </w:r>
      <w:r w:rsidRPr="00A10CCA">
        <w:rPr>
          <w:rFonts w:asciiTheme="minorHAnsi" w:hAnsiTheme="minorHAnsi" w:cstheme="minorHAnsi"/>
          <w:spacing w:val="-25"/>
        </w:rPr>
        <w:t xml:space="preserve"> </w:t>
      </w:r>
      <w:r w:rsidRPr="00A10CCA">
        <w:rPr>
          <w:rFonts w:asciiTheme="minorHAnsi" w:hAnsiTheme="minorHAnsi" w:cstheme="minorHAnsi"/>
          <w:spacing w:val="3"/>
        </w:rPr>
        <w:t>been</w:t>
      </w:r>
      <w:r w:rsidRPr="00A10CCA">
        <w:rPr>
          <w:rFonts w:asciiTheme="minorHAnsi" w:hAnsiTheme="minorHAnsi" w:cstheme="minorHAnsi"/>
          <w:spacing w:val="-11"/>
        </w:rPr>
        <w:t xml:space="preserve"> </w:t>
      </w:r>
      <w:r w:rsidRPr="00A10CCA">
        <w:rPr>
          <w:rFonts w:asciiTheme="minorHAnsi" w:hAnsiTheme="minorHAnsi" w:cstheme="minorHAnsi"/>
        </w:rPr>
        <w:t>calculated</w:t>
      </w:r>
      <w:r w:rsidRPr="00A10CCA">
        <w:rPr>
          <w:rFonts w:asciiTheme="minorHAnsi" w:hAnsiTheme="minorHAnsi" w:cstheme="minorHAnsi"/>
          <w:spacing w:val="-11"/>
        </w:rPr>
        <w:t xml:space="preserve"> </w:t>
      </w:r>
      <w:r w:rsidRPr="00A10CCA">
        <w:rPr>
          <w:rFonts w:asciiTheme="minorHAnsi" w:hAnsiTheme="minorHAnsi" w:cstheme="minorHAnsi"/>
        </w:rPr>
        <w:t>by</w:t>
      </w:r>
      <w:r w:rsidRPr="00A10CCA">
        <w:rPr>
          <w:rFonts w:asciiTheme="minorHAnsi" w:hAnsiTheme="minorHAnsi" w:cstheme="minorHAnsi"/>
          <w:spacing w:val="-8"/>
        </w:rPr>
        <w:t xml:space="preserve"> </w:t>
      </w:r>
      <w:r w:rsidRPr="00A10CCA">
        <w:rPr>
          <w:rFonts w:asciiTheme="minorHAnsi" w:hAnsiTheme="minorHAnsi" w:cstheme="minorHAnsi"/>
        </w:rPr>
        <w:t>ranking</w:t>
      </w:r>
      <w:r w:rsidRPr="00A10CCA">
        <w:rPr>
          <w:rFonts w:asciiTheme="minorHAnsi" w:hAnsiTheme="minorHAnsi" w:cstheme="minorHAnsi"/>
          <w:spacing w:val="-13"/>
        </w:rPr>
        <w:t xml:space="preserve"> </w:t>
      </w:r>
      <w:r w:rsidRPr="00A10CCA">
        <w:rPr>
          <w:rFonts w:asciiTheme="minorHAnsi" w:hAnsiTheme="minorHAnsi" w:cstheme="minorHAnsi"/>
        </w:rPr>
        <w:t>all</w:t>
      </w:r>
      <w:r w:rsidRPr="00A10CCA">
        <w:rPr>
          <w:rFonts w:asciiTheme="minorHAnsi" w:hAnsiTheme="minorHAnsi" w:cstheme="minorHAnsi"/>
          <w:spacing w:val="9"/>
        </w:rPr>
        <w:t xml:space="preserve"> </w:t>
      </w:r>
      <w:r w:rsidRPr="00A10CCA">
        <w:rPr>
          <w:rFonts w:asciiTheme="minorHAnsi" w:hAnsiTheme="minorHAnsi" w:cstheme="minorHAnsi"/>
        </w:rPr>
        <w:t>employees</w:t>
      </w:r>
      <w:r w:rsidRPr="00A10CCA">
        <w:rPr>
          <w:rFonts w:asciiTheme="minorHAnsi" w:hAnsiTheme="minorHAnsi" w:cstheme="minorHAnsi"/>
          <w:spacing w:val="-11"/>
        </w:rPr>
        <w:t xml:space="preserve"> </w:t>
      </w:r>
      <w:r w:rsidRPr="00A10CCA">
        <w:rPr>
          <w:rFonts w:asciiTheme="minorHAnsi" w:hAnsiTheme="minorHAnsi" w:cstheme="minorHAnsi"/>
        </w:rPr>
        <w:t>by</w:t>
      </w:r>
      <w:r w:rsidRPr="00A10CCA">
        <w:rPr>
          <w:rFonts w:asciiTheme="minorHAnsi" w:hAnsiTheme="minorHAnsi" w:cstheme="minorHAnsi"/>
          <w:spacing w:val="-8"/>
        </w:rPr>
        <w:t xml:space="preserve"> </w:t>
      </w:r>
      <w:r w:rsidRPr="00A10CCA">
        <w:rPr>
          <w:rFonts w:asciiTheme="minorHAnsi" w:hAnsiTheme="minorHAnsi" w:cstheme="minorHAnsi"/>
          <w:spacing w:val="3"/>
        </w:rPr>
        <w:t>their hourly</w:t>
      </w:r>
      <w:r w:rsidRPr="00A10CCA">
        <w:rPr>
          <w:rFonts w:asciiTheme="minorHAnsi" w:hAnsiTheme="minorHAnsi" w:cstheme="minorHAnsi"/>
          <w:spacing w:val="-8"/>
        </w:rPr>
        <w:t xml:space="preserve"> </w:t>
      </w:r>
      <w:r w:rsidRPr="00A10CCA">
        <w:rPr>
          <w:rFonts w:asciiTheme="minorHAnsi" w:hAnsiTheme="minorHAnsi" w:cstheme="minorHAnsi"/>
        </w:rPr>
        <w:t>rate</w:t>
      </w:r>
      <w:r w:rsidRPr="00A10CCA">
        <w:rPr>
          <w:rFonts w:asciiTheme="minorHAnsi" w:hAnsiTheme="minorHAnsi" w:cstheme="minorHAnsi"/>
          <w:spacing w:val="-3"/>
        </w:rPr>
        <w:t xml:space="preserve"> </w:t>
      </w:r>
      <w:r w:rsidRPr="00A10CCA">
        <w:rPr>
          <w:rFonts w:asciiTheme="minorHAnsi" w:hAnsiTheme="minorHAnsi" w:cstheme="minorHAnsi"/>
        </w:rPr>
        <w:t>of</w:t>
      </w:r>
      <w:r w:rsidRPr="00A10CCA">
        <w:rPr>
          <w:rFonts w:asciiTheme="minorHAnsi" w:hAnsiTheme="minorHAnsi" w:cstheme="minorHAnsi"/>
          <w:spacing w:val="-4"/>
        </w:rPr>
        <w:t xml:space="preserve"> </w:t>
      </w:r>
      <w:r w:rsidRPr="00A10CCA">
        <w:rPr>
          <w:rFonts w:asciiTheme="minorHAnsi" w:hAnsiTheme="minorHAnsi" w:cstheme="minorHAnsi"/>
        </w:rPr>
        <w:t>pay</w:t>
      </w:r>
      <w:r w:rsidRPr="00A10CCA">
        <w:rPr>
          <w:rFonts w:asciiTheme="minorHAnsi" w:hAnsiTheme="minorHAnsi" w:cstheme="minorHAnsi"/>
          <w:spacing w:val="-8"/>
        </w:rPr>
        <w:t xml:space="preserve"> </w:t>
      </w:r>
      <w:r w:rsidRPr="00A10CCA">
        <w:rPr>
          <w:rFonts w:asciiTheme="minorHAnsi" w:hAnsiTheme="minorHAnsi" w:cstheme="minorHAnsi"/>
        </w:rPr>
        <w:t>from</w:t>
      </w:r>
      <w:r w:rsidRPr="00A10CCA">
        <w:rPr>
          <w:rFonts w:asciiTheme="minorHAnsi" w:hAnsiTheme="minorHAnsi" w:cstheme="minorHAnsi"/>
          <w:spacing w:val="-12"/>
        </w:rPr>
        <w:t xml:space="preserve"> </w:t>
      </w:r>
      <w:r w:rsidRPr="00A10CCA">
        <w:rPr>
          <w:rFonts w:asciiTheme="minorHAnsi" w:hAnsiTheme="minorHAnsi" w:cstheme="minorHAnsi"/>
          <w:spacing w:val="2"/>
        </w:rPr>
        <w:t>lowest</w:t>
      </w:r>
      <w:r w:rsidRPr="00A10CCA">
        <w:rPr>
          <w:rFonts w:asciiTheme="minorHAnsi" w:hAnsiTheme="minorHAnsi" w:cstheme="minorHAnsi"/>
          <w:spacing w:val="-12"/>
        </w:rPr>
        <w:t xml:space="preserve"> </w:t>
      </w:r>
      <w:r w:rsidRPr="00A10CCA">
        <w:rPr>
          <w:rFonts w:asciiTheme="minorHAnsi" w:hAnsiTheme="minorHAnsi" w:cstheme="minorHAnsi"/>
        </w:rPr>
        <w:t>to</w:t>
      </w:r>
      <w:r w:rsidRPr="00A10CCA">
        <w:rPr>
          <w:rFonts w:asciiTheme="minorHAnsi" w:hAnsiTheme="minorHAnsi" w:cstheme="minorHAnsi"/>
          <w:spacing w:val="47"/>
        </w:rPr>
        <w:t xml:space="preserve"> </w:t>
      </w:r>
      <w:r w:rsidRPr="00A10CCA">
        <w:rPr>
          <w:rFonts w:asciiTheme="minorHAnsi" w:hAnsiTheme="minorHAnsi" w:cstheme="minorHAnsi"/>
        </w:rPr>
        <w:t xml:space="preserve">highest and </w:t>
      </w:r>
      <w:r w:rsidRPr="00A10CCA">
        <w:rPr>
          <w:rFonts w:asciiTheme="minorHAnsi" w:hAnsiTheme="minorHAnsi" w:cstheme="minorHAnsi"/>
          <w:spacing w:val="2"/>
        </w:rPr>
        <w:t xml:space="preserve">dividing </w:t>
      </w:r>
      <w:r w:rsidRPr="00A10CCA">
        <w:rPr>
          <w:rFonts w:asciiTheme="minorHAnsi" w:hAnsiTheme="minorHAnsi" w:cstheme="minorHAnsi"/>
        </w:rPr>
        <w:t xml:space="preserve">them into </w:t>
      </w:r>
      <w:r w:rsidRPr="00A10CCA">
        <w:rPr>
          <w:rFonts w:asciiTheme="minorHAnsi" w:hAnsiTheme="minorHAnsi" w:cstheme="minorHAnsi"/>
          <w:spacing w:val="3"/>
        </w:rPr>
        <w:t xml:space="preserve">four even </w:t>
      </w:r>
      <w:r w:rsidRPr="00A10CCA">
        <w:rPr>
          <w:rFonts w:asciiTheme="minorHAnsi" w:hAnsiTheme="minorHAnsi" w:cstheme="minorHAnsi"/>
        </w:rPr>
        <w:t xml:space="preserve">groups. </w:t>
      </w:r>
      <w:r w:rsidRPr="00BF00A0">
        <w:rPr>
          <w:rFonts w:asciiTheme="minorHAnsi" w:hAnsiTheme="minorHAnsi" w:cstheme="minorHAnsi"/>
          <w:color w:val="221E1F"/>
        </w:rPr>
        <w:t xml:space="preserve">It is </w:t>
      </w:r>
      <w:r>
        <w:rPr>
          <w:rFonts w:asciiTheme="minorHAnsi" w:hAnsiTheme="minorHAnsi" w:cstheme="minorHAnsi"/>
          <w:color w:val="221E1F"/>
        </w:rPr>
        <w:t xml:space="preserve">worth noting </w:t>
      </w:r>
      <w:r w:rsidRPr="00BF00A0">
        <w:rPr>
          <w:rFonts w:asciiTheme="minorHAnsi" w:hAnsiTheme="minorHAnsi" w:cstheme="minorHAnsi"/>
          <w:color w:val="221E1F"/>
        </w:rPr>
        <w:t>from our quartile data that women make up the majority of employees across all four quartiles.</w:t>
      </w:r>
    </w:p>
    <w:p w14:paraId="69FBD8A4" w14:textId="080512F8" w:rsidR="00F10E78" w:rsidRDefault="00F10E78" w:rsidP="00215156">
      <w:pPr>
        <w:pStyle w:val="Default"/>
        <w:jc w:val="both"/>
        <w:rPr>
          <w:rFonts w:asciiTheme="minorHAnsi" w:hAnsiTheme="minorHAnsi" w:cstheme="minorHAnsi"/>
          <w:color w:val="221E1F"/>
        </w:rPr>
      </w:pPr>
    </w:p>
    <w:p w14:paraId="3EAA8D46" w14:textId="21E87B99" w:rsidR="00F10E78" w:rsidRPr="00BF00A0" w:rsidRDefault="00F10E78" w:rsidP="00F10E78">
      <w:pPr>
        <w:pStyle w:val="Default"/>
        <w:jc w:val="both"/>
        <w:rPr>
          <w:rFonts w:asciiTheme="minorHAnsi" w:hAnsiTheme="minorHAnsi" w:cstheme="minorHAnsi"/>
          <w:color w:val="221E1F"/>
        </w:rPr>
      </w:pPr>
      <w:r w:rsidRPr="00BF00A0">
        <w:rPr>
          <w:rFonts w:asciiTheme="minorHAnsi" w:hAnsiTheme="minorHAnsi" w:cstheme="minorHAnsi"/>
          <w:color w:val="221E1F"/>
        </w:rPr>
        <w:t xml:space="preserve">The higher percentage of women in the lower quartiles represent those on the lower salaries and are effected by a number of socio-economic factors, such as childcare responsibilities, part-time working and ‘typically female’ roles.  </w:t>
      </w:r>
      <w:r>
        <w:rPr>
          <w:rFonts w:asciiTheme="minorHAnsi" w:hAnsiTheme="minorHAnsi" w:cstheme="minorHAnsi"/>
          <w:color w:val="221E1F"/>
        </w:rPr>
        <w:t>This is commonly referred to as vertical and occupational segregation.  It was acknowledged in last year’s report that “a</w:t>
      </w:r>
      <w:r w:rsidRPr="00BF00A0">
        <w:rPr>
          <w:rFonts w:asciiTheme="minorHAnsi" w:hAnsiTheme="minorHAnsi" w:cstheme="minorHAnsi"/>
          <w:color w:val="221E1F"/>
        </w:rPr>
        <w:t>chieving a better gender balance in the lower quartiles would have a positive impact in decreasing the gender pay gap</w:t>
      </w:r>
      <w:r>
        <w:rPr>
          <w:rFonts w:asciiTheme="minorHAnsi" w:hAnsiTheme="minorHAnsi" w:cstheme="minorHAnsi"/>
          <w:color w:val="221E1F"/>
        </w:rPr>
        <w:t xml:space="preserve">” and the </w:t>
      </w:r>
      <w:r>
        <w:rPr>
          <w:rFonts w:asciiTheme="minorHAnsi" w:hAnsiTheme="minorHAnsi" w:cstheme="minorHAnsi"/>
          <w:color w:val="221E1F"/>
        </w:rPr>
        <w:lastRenderedPageBreak/>
        <w:t>figures in the Lower Quartile and Second Quartile have shown signs that this is moving in the right direction.</w:t>
      </w:r>
    </w:p>
    <w:p w14:paraId="7FD4705C" w14:textId="1C2198D1" w:rsidR="00215156" w:rsidRDefault="00215156" w:rsidP="004B7E30">
      <w:pPr>
        <w:rPr>
          <w:sz w:val="24"/>
          <w:szCs w:val="24"/>
        </w:rPr>
      </w:pPr>
      <w:r>
        <w:rPr>
          <w:noProof/>
          <w:sz w:val="24"/>
          <w:szCs w:val="24"/>
          <w:lang w:val="en-GB" w:eastAsia="en-GB"/>
        </w:rPr>
        <w:drawing>
          <wp:inline distT="0" distB="0" distL="0" distR="0" wp14:anchorId="3BA160DB" wp14:editId="1ED8B00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F059A6" w14:textId="2E25D491" w:rsidR="00B63652" w:rsidRDefault="00B63652" w:rsidP="004B7E30">
      <w:pPr>
        <w:rPr>
          <w:sz w:val="24"/>
          <w:szCs w:val="24"/>
        </w:rPr>
      </w:pPr>
    </w:p>
    <w:p w14:paraId="0CDB3D1F" w14:textId="77777777" w:rsidR="00B63652" w:rsidRPr="00942DD8" w:rsidRDefault="00B63652" w:rsidP="00B63652">
      <w:pPr>
        <w:pStyle w:val="BodyText"/>
        <w:spacing w:before="172" w:line="261" w:lineRule="auto"/>
        <w:ind w:left="0" w:right="199"/>
        <w:jc w:val="both"/>
        <w:rPr>
          <w:rFonts w:asciiTheme="minorHAnsi" w:eastAsiaTheme="minorHAnsi" w:hAnsiTheme="minorHAnsi" w:cstheme="minorHAnsi"/>
          <w:b/>
          <w:sz w:val="26"/>
          <w:szCs w:val="26"/>
        </w:rPr>
      </w:pPr>
      <w:r w:rsidRPr="00942DD8">
        <w:rPr>
          <w:rFonts w:asciiTheme="minorHAnsi" w:eastAsiaTheme="minorHAnsi" w:hAnsiTheme="minorHAnsi" w:cstheme="minorHAnsi"/>
          <w:b/>
          <w:sz w:val="26"/>
          <w:szCs w:val="26"/>
        </w:rPr>
        <w:t>Bonuses</w:t>
      </w:r>
    </w:p>
    <w:p w14:paraId="7C587F30" w14:textId="6653B9AA" w:rsidR="00B63652" w:rsidRDefault="00B63652" w:rsidP="004B7E30">
      <w:pPr>
        <w:rPr>
          <w:sz w:val="24"/>
          <w:szCs w:val="24"/>
        </w:rPr>
      </w:pPr>
      <w:r w:rsidRPr="23CCF81C">
        <w:rPr>
          <w:sz w:val="24"/>
          <w:szCs w:val="24"/>
        </w:rPr>
        <w:t xml:space="preserve">15 bonus payments were paid during the relevant reporting period. 12 bonuses were awarded to female colleagues and 3 to male. The payments range from £300 to £1526, recognising outstanding contribution in line with the University’s honorarium guidance. </w:t>
      </w:r>
      <w:r w:rsidR="002F0AB2" w:rsidRPr="23CCF81C">
        <w:rPr>
          <w:sz w:val="24"/>
          <w:szCs w:val="24"/>
        </w:rPr>
        <w:t xml:space="preserve">Whilst the pool of colleagues receiving a bonus payment is small, it is positive to note that there is no median bonus gap and the mean is gap is very small at -3.63%. </w:t>
      </w:r>
      <w:r w:rsidR="00BE42F7" w:rsidRPr="23CCF81C">
        <w:rPr>
          <w:sz w:val="24"/>
          <w:szCs w:val="24"/>
        </w:rPr>
        <w:t>A small working group was tasked to review bonus payments and provided recommendations to the EDIW Committee to</w:t>
      </w:r>
      <w:r w:rsidR="7884D323" w:rsidRPr="23CCF81C">
        <w:rPr>
          <w:sz w:val="24"/>
          <w:szCs w:val="24"/>
        </w:rPr>
        <w:t xml:space="preserve"> review </w:t>
      </w:r>
      <w:r w:rsidR="1BBB0DE7" w:rsidRPr="23CCF81C">
        <w:rPr>
          <w:sz w:val="24"/>
          <w:szCs w:val="24"/>
        </w:rPr>
        <w:t>the</w:t>
      </w:r>
      <w:r w:rsidR="00BE42F7" w:rsidRPr="23CCF81C">
        <w:rPr>
          <w:sz w:val="24"/>
          <w:szCs w:val="24"/>
        </w:rPr>
        <w:t xml:space="preserve"> </w:t>
      </w:r>
      <w:r w:rsidR="6446D59E" w:rsidRPr="23CCF81C">
        <w:rPr>
          <w:sz w:val="24"/>
          <w:szCs w:val="24"/>
        </w:rPr>
        <w:t xml:space="preserve">honorarium </w:t>
      </w:r>
      <w:r w:rsidR="1BBB0DE7" w:rsidRPr="23CCF81C">
        <w:rPr>
          <w:sz w:val="24"/>
          <w:szCs w:val="24"/>
        </w:rPr>
        <w:t>bonus process</w:t>
      </w:r>
      <w:r w:rsidR="7E40BD08" w:rsidRPr="23CCF81C">
        <w:rPr>
          <w:sz w:val="24"/>
          <w:szCs w:val="24"/>
        </w:rPr>
        <w:t>es</w:t>
      </w:r>
      <w:r w:rsidR="1BBB0DE7" w:rsidRPr="23CCF81C">
        <w:rPr>
          <w:sz w:val="24"/>
          <w:szCs w:val="24"/>
        </w:rPr>
        <w:t xml:space="preserve"> across the University to </w:t>
      </w:r>
      <w:r w:rsidR="00BE42F7" w:rsidRPr="23CCF81C">
        <w:rPr>
          <w:sz w:val="24"/>
          <w:szCs w:val="24"/>
        </w:rPr>
        <w:t xml:space="preserve">support the gender balance in respect of bonus payments </w:t>
      </w:r>
      <w:r w:rsidR="002F0AB2" w:rsidRPr="23CCF81C">
        <w:rPr>
          <w:sz w:val="24"/>
          <w:szCs w:val="24"/>
        </w:rPr>
        <w:t>moving forward</w:t>
      </w:r>
      <w:r w:rsidR="00BE42F7" w:rsidRPr="23CCF81C">
        <w:rPr>
          <w:sz w:val="24"/>
          <w:szCs w:val="24"/>
        </w:rPr>
        <w:t xml:space="preserve">. </w:t>
      </w:r>
    </w:p>
    <w:p w14:paraId="2F8C01F9" w14:textId="6B71FE63" w:rsidR="00BE42F7" w:rsidRDefault="00BE42F7" w:rsidP="004B7E30">
      <w:pPr>
        <w:rPr>
          <w:sz w:val="24"/>
          <w:szCs w:val="24"/>
        </w:rPr>
      </w:pPr>
      <w:r w:rsidRPr="00BE42F7">
        <w:rPr>
          <w:noProof/>
          <w:sz w:val="24"/>
          <w:szCs w:val="24"/>
          <w:lang w:val="en-GB" w:eastAsia="en-GB"/>
        </w:rPr>
        <mc:AlternateContent>
          <mc:Choice Requires="wps">
            <w:drawing>
              <wp:anchor distT="45720" distB="45720" distL="114300" distR="114300" simplePos="0" relativeHeight="251659264" behindDoc="0" locked="0" layoutInCell="1" allowOverlap="1" wp14:anchorId="5C698DDF" wp14:editId="4EB374A5">
                <wp:simplePos x="0" y="0"/>
                <wp:positionH relativeFrom="margin">
                  <wp:align>left</wp:align>
                </wp:positionH>
                <wp:positionV relativeFrom="paragraph">
                  <wp:posOffset>372110</wp:posOffset>
                </wp:positionV>
                <wp:extent cx="5866765" cy="1404620"/>
                <wp:effectExtent l="0" t="0" r="1968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404620"/>
                        </a:xfrm>
                        <a:prstGeom prst="rect">
                          <a:avLst/>
                        </a:prstGeom>
                        <a:solidFill>
                          <a:schemeClr val="bg2"/>
                        </a:solidFill>
                        <a:ln w="9525">
                          <a:solidFill>
                            <a:srgbClr val="000000"/>
                          </a:solidFill>
                          <a:miter lim="800000"/>
                          <a:headEnd/>
                          <a:tailEnd/>
                        </a:ln>
                      </wps:spPr>
                      <wps:txbx>
                        <w:txbxContent>
                          <w:p w14:paraId="151FEEA6" w14:textId="3B7103E0" w:rsidR="00BE42F7" w:rsidRPr="00BE42F7" w:rsidRDefault="00BE42F7">
                            <w:pPr>
                              <w:rPr>
                                <w:b/>
                                <w:sz w:val="24"/>
                                <w:szCs w:val="24"/>
                              </w:rPr>
                            </w:pPr>
                            <w:r w:rsidRPr="00BE42F7">
                              <w:rPr>
                                <w:b/>
                                <w:sz w:val="24"/>
                                <w:szCs w:val="24"/>
                              </w:rPr>
                              <w:t>Mean bonus gap</w:t>
                            </w:r>
                            <w:r w:rsidRPr="00BE42F7">
                              <w:rPr>
                                <w:b/>
                                <w:sz w:val="24"/>
                                <w:szCs w:val="24"/>
                              </w:rPr>
                              <w:tab/>
                            </w:r>
                            <w:r w:rsidRPr="00BE42F7">
                              <w:rPr>
                                <w:b/>
                                <w:sz w:val="24"/>
                                <w:szCs w:val="24"/>
                              </w:rPr>
                              <w:tab/>
                            </w:r>
                            <w:r w:rsidRPr="00BE42F7">
                              <w:rPr>
                                <w:b/>
                                <w:sz w:val="24"/>
                                <w:szCs w:val="24"/>
                              </w:rPr>
                              <w:tab/>
                              <w:t>Median Bonus G</w:t>
                            </w:r>
                            <w:r>
                              <w:rPr>
                                <w:b/>
                                <w:sz w:val="24"/>
                                <w:szCs w:val="24"/>
                              </w:rPr>
                              <w:t>ap</w:t>
                            </w:r>
                            <w:r>
                              <w:rPr>
                                <w:b/>
                                <w:sz w:val="24"/>
                                <w:szCs w:val="24"/>
                              </w:rPr>
                              <w:tab/>
                            </w:r>
                            <w:r>
                              <w:rPr>
                                <w:b/>
                                <w:sz w:val="24"/>
                                <w:szCs w:val="24"/>
                              </w:rPr>
                              <w:tab/>
                            </w:r>
                            <w:r w:rsidRPr="00BE42F7">
                              <w:rPr>
                                <w:b/>
                                <w:sz w:val="24"/>
                                <w:szCs w:val="24"/>
                              </w:rPr>
                              <w:t>% receiving bonus</w:t>
                            </w:r>
                          </w:p>
                          <w:p w14:paraId="0747C79E" w14:textId="77777777" w:rsidR="00BE42F7" w:rsidRPr="00BE42F7" w:rsidRDefault="00BE42F7" w:rsidP="00BE42F7">
                            <w:pPr>
                              <w:ind w:firstLine="720"/>
                              <w:rPr>
                                <w:b/>
                                <w:sz w:val="24"/>
                                <w:szCs w:val="24"/>
                              </w:rPr>
                            </w:pPr>
                            <w:r w:rsidRPr="00BE42F7">
                              <w:rPr>
                                <w:b/>
                                <w:sz w:val="24"/>
                                <w:szCs w:val="24"/>
                              </w:rPr>
                              <w:t>-3.63%</w:t>
                            </w:r>
                            <w:r w:rsidRPr="00BE42F7">
                              <w:rPr>
                                <w:b/>
                                <w:sz w:val="24"/>
                                <w:szCs w:val="24"/>
                              </w:rPr>
                              <w:tab/>
                            </w:r>
                            <w:r w:rsidRPr="00BE42F7">
                              <w:rPr>
                                <w:b/>
                                <w:sz w:val="24"/>
                                <w:szCs w:val="24"/>
                              </w:rPr>
                              <w:tab/>
                            </w:r>
                            <w:r w:rsidRPr="00BE42F7">
                              <w:rPr>
                                <w:b/>
                                <w:sz w:val="24"/>
                                <w:szCs w:val="24"/>
                              </w:rPr>
                              <w:tab/>
                            </w:r>
                            <w:r w:rsidRPr="00BE42F7">
                              <w:rPr>
                                <w:b/>
                                <w:sz w:val="24"/>
                                <w:szCs w:val="24"/>
                              </w:rPr>
                              <w:tab/>
                            </w:r>
                            <w:r w:rsidRPr="00BE42F7">
                              <w:rPr>
                                <w:b/>
                                <w:sz w:val="24"/>
                                <w:szCs w:val="24"/>
                              </w:rPr>
                              <w:tab/>
                              <w:t>0%</w:t>
                            </w:r>
                            <w:r w:rsidRPr="00BE42F7">
                              <w:rPr>
                                <w:b/>
                                <w:sz w:val="24"/>
                                <w:szCs w:val="24"/>
                              </w:rPr>
                              <w:tab/>
                            </w:r>
                            <w:r w:rsidRPr="00BE42F7">
                              <w:rPr>
                                <w:b/>
                                <w:sz w:val="24"/>
                                <w:szCs w:val="24"/>
                              </w:rPr>
                              <w:tab/>
                            </w:r>
                            <w:r w:rsidRPr="00BE42F7">
                              <w:rPr>
                                <w:b/>
                                <w:sz w:val="24"/>
                                <w:szCs w:val="24"/>
                              </w:rPr>
                              <w:tab/>
                            </w:r>
                            <w:r w:rsidRPr="00BE42F7">
                              <w:rPr>
                                <w:b/>
                                <w:sz w:val="24"/>
                                <w:szCs w:val="24"/>
                              </w:rPr>
                              <w:tab/>
                            </w:r>
                            <w:r w:rsidRPr="00BE42F7">
                              <w:rPr>
                                <w:b/>
                                <w:sz w:val="24"/>
                                <w:szCs w:val="24"/>
                              </w:rPr>
                              <w:tab/>
                            </w:r>
                          </w:p>
                          <w:p w14:paraId="55D45820" w14:textId="40BDDD78" w:rsidR="00BE42F7" w:rsidRPr="00BE42F7" w:rsidRDefault="00BE42F7" w:rsidP="00BE42F7">
                            <w:pPr>
                              <w:rPr>
                                <w:color w:val="ED7D31" w:themeColor="accent2"/>
                                <w:sz w:val="24"/>
                                <w:szCs w:val="24"/>
                              </w:rPr>
                            </w:pPr>
                            <w:r>
                              <w:rPr>
                                <w:b/>
                                <w:color w:val="5B9BD5" w:themeColor="accent1"/>
                                <w:sz w:val="24"/>
                                <w:szCs w:val="24"/>
                              </w:rPr>
                              <w:t>£</w:t>
                            </w:r>
                            <w:r w:rsidRPr="00BE42F7">
                              <w:rPr>
                                <w:b/>
                                <w:color w:val="5B9BD5" w:themeColor="accent1"/>
                                <w:sz w:val="24"/>
                                <w:szCs w:val="24"/>
                              </w:rPr>
                              <w:t>656.33</w:t>
                            </w:r>
                            <w:r>
                              <w:rPr>
                                <w:b/>
                                <w:sz w:val="24"/>
                                <w:szCs w:val="24"/>
                              </w:rPr>
                              <w:t xml:space="preserve"> </w:t>
                            </w:r>
                            <w:r w:rsidRPr="00BE42F7">
                              <w:rPr>
                                <w:b/>
                                <w:color w:val="ED7D31" w:themeColor="accent2"/>
                                <w:sz w:val="24"/>
                                <w:szCs w:val="24"/>
                              </w:rPr>
                              <w:t>£633.33</w:t>
                            </w:r>
                            <w:r w:rsidRPr="00BE42F7">
                              <w:rPr>
                                <w:b/>
                                <w:color w:val="ED7D31" w:themeColor="accent2"/>
                                <w:sz w:val="24"/>
                                <w:szCs w:val="24"/>
                              </w:rPr>
                              <w:tab/>
                            </w:r>
                            <w:r w:rsidRPr="00BE42F7">
                              <w:rPr>
                                <w:b/>
                                <w:color w:val="ED7D31" w:themeColor="accent2"/>
                                <w:sz w:val="24"/>
                                <w:szCs w:val="24"/>
                              </w:rPr>
                              <w:tab/>
                            </w:r>
                            <w:r w:rsidRPr="00BE42F7">
                              <w:rPr>
                                <w:b/>
                                <w:color w:val="ED7D31" w:themeColor="accent2"/>
                                <w:sz w:val="24"/>
                                <w:szCs w:val="24"/>
                              </w:rPr>
                              <w:tab/>
                            </w:r>
                            <w:r w:rsidRPr="00BE42F7">
                              <w:rPr>
                                <w:b/>
                                <w:color w:val="5B9BD5" w:themeColor="accent1"/>
                                <w:sz w:val="24"/>
                                <w:szCs w:val="24"/>
                              </w:rPr>
                              <w:t>£500</w:t>
                            </w:r>
                            <w:r w:rsidRPr="00BE42F7">
                              <w:rPr>
                                <w:b/>
                                <w:color w:val="ED7D31" w:themeColor="accent2"/>
                                <w:sz w:val="24"/>
                                <w:szCs w:val="24"/>
                              </w:rPr>
                              <w:tab/>
                              <w:t>£500</w:t>
                            </w:r>
                            <w:r w:rsidRPr="00BE42F7">
                              <w:rPr>
                                <w:b/>
                                <w:color w:val="ED7D31" w:themeColor="accent2"/>
                                <w:sz w:val="24"/>
                                <w:szCs w:val="24"/>
                              </w:rPr>
                              <w:tab/>
                            </w:r>
                            <w:r w:rsidRPr="00BE42F7">
                              <w:rPr>
                                <w:b/>
                                <w:color w:val="ED7D31" w:themeColor="accent2"/>
                                <w:sz w:val="24"/>
                                <w:szCs w:val="24"/>
                              </w:rPr>
                              <w:tab/>
                            </w:r>
                            <w:r w:rsidRPr="00BE42F7">
                              <w:rPr>
                                <w:b/>
                                <w:color w:val="ED7D31" w:themeColor="accent2"/>
                                <w:sz w:val="24"/>
                                <w:szCs w:val="24"/>
                              </w:rPr>
                              <w:tab/>
                            </w:r>
                            <w:r w:rsidRPr="00BE42F7">
                              <w:rPr>
                                <w:b/>
                                <w:color w:val="5B9BD5" w:themeColor="accent1"/>
                                <w:sz w:val="24"/>
                                <w:szCs w:val="24"/>
                              </w:rPr>
                              <w:t>1.12%</w:t>
                            </w:r>
                            <w:r w:rsidRPr="00BE42F7">
                              <w:rPr>
                                <w:b/>
                                <w:color w:val="5B9BD5" w:themeColor="accent1"/>
                                <w:sz w:val="24"/>
                                <w:szCs w:val="24"/>
                              </w:rPr>
                              <w:tab/>
                            </w:r>
                            <w:r w:rsidRPr="00BE42F7">
                              <w:rPr>
                                <w:b/>
                                <w:color w:val="ED7D31" w:themeColor="accent2"/>
                                <w:sz w:val="24"/>
                                <w:szCs w:val="24"/>
                              </w:rPr>
                              <w:t>&lt;1%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98DDF" id="_x0000_t202" coordsize="21600,21600" o:spt="202" path="m,l,21600r21600,l21600,xe">
                <v:stroke joinstyle="miter"/>
                <v:path gradientshapeok="t" o:connecttype="rect"/>
              </v:shapetype>
              <v:shape id="Text Box 2" o:spid="_x0000_s1026" type="#_x0000_t202" style="position:absolute;margin-left:0;margin-top:29.3pt;width:461.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" fillcolor="#e7e6e6 [3214]">
                <v:textbox style="mso-fit-shape-to-text:t">
                  <w:txbxContent>
                    <w:p w14:paraId="151FEEA6" w14:textId="3B7103E0" w:rsidR="00BE42F7" w:rsidRPr="00BE42F7" w:rsidRDefault="00BE42F7">
                      <w:pPr>
                        <w:rPr>
                          <w:b/>
                          <w:sz w:val="24"/>
                          <w:szCs w:val="24"/>
                        </w:rPr>
                      </w:pPr>
                      <w:r w:rsidRPr="00BE42F7">
                        <w:rPr>
                          <w:b/>
                          <w:sz w:val="24"/>
                          <w:szCs w:val="24"/>
                        </w:rPr>
                        <w:t>Mean bonus gap</w:t>
                      </w:r>
                      <w:r w:rsidRPr="00BE42F7">
                        <w:rPr>
                          <w:b/>
                          <w:sz w:val="24"/>
                          <w:szCs w:val="24"/>
                        </w:rPr>
                        <w:tab/>
                      </w:r>
                      <w:r w:rsidRPr="00BE42F7">
                        <w:rPr>
                          <w:b/>
                          <w:sz w:val="24"/>
                          <w:szCs w:val="24"/>
                        </w:rPr>
                        <w:tab/>
                      </w:r>
                      <w:r w:rsidRPr="00BE42F7">
                        <w:rPr>
                          <w:b/>
                          <w:sz w:val="24"/>
                          <w:szCs w:val="24"/>
                        </w:rPr>
                        <w:tab/>
                        <w:t>Median Bonus G</w:t>
                      </w:r>
                      <w:r>
                        <w:rPr>
                          <w:b/>
                          <w:sz w:val="24"/>
                          <w:szCs w:val="24"/>
                        </w:rPr>
                        <w:t>ap</w:t>
                      </w:r>
                      <w:r>
                        <w:rPr>
                          <w:b/>
                          <w:sz w:val="24"/>
                          <w:szCs w:val="24"/>
                        </w:rPr>
                        <w:tab/>
                      </w:r>
                      <w:r>
                        <w:rPr>
                          <w:b/>
                          <w:sz w:val="24"/>
                          <w:szCs w:val="24"/>
                        </w:rPr>
                        <w:tab/>
                      </w:r>
                      <w:r w:rsidRPr="00BE42F7">
                        <w:rPr>
                          <w:b/>
                          <w:sz w:val="24"/>
                          <w:szCs w:val="24"/>
                        </w:rPr>
                        <w:t>% receiving bonus</w:t>
                      </w:r>
                    </w:p>
                    <w:p w14:paraId="0747C79E" w14:textId="77777777" w:rsidR="00BE42F7" w:rsidRPr="00BE42F7" w:rsidRDefault="00BE42F7" w:rsidP="00BE42F7">
                      <w:pPr>
                        <w:ind w:firstLine="720"/>
                        <w:rPr>
                          <w:b/>
                          <w:sz w:val="24"/>
                          <w:szCs w:val="24"/>
                        </w:rPr>
                      </w:pPr>
                      <w:r w:rsidRPr="00BE42F7">
                        <w:rPr>
                          <w:b/>
                          <w:sz w:val="24"/>
                          <w:szCs w:val="24"/>
                        </w:rPr>
                        <w:t>-3.63%</w:t>
                      </w:r>
                      <w:r w:rsidRPr="00BE42F7">
                        <w:rPr>
                          <w:b/>
                          <w:sz w:val="24"/>
                          <w:szCs w:val="24"/>
                        </w:rPr>
                        <w:tab/>
                      </w:r>
                      <w:r w:rsidRPr="00BE42F7">
                        <w:rPr>
                          <w:b/>
                          <w:sz w:val="24"/>
                          <w:szCs w:val="24"/>
                        </w:rPr>
                        <w:tab/>
                      </w:r>
                      <w:r w:rsidRPr="00BE42F7">
                        <w:rPr>
                          <w:b/>
                          <w:sz w:val="24"/>
                          <w:szCs w:val="24"/>
                        </w:rPr>
                        <w:tab/>
                      </w:r>
                      <w:r w:rsidRPr="00BE42F7">
                        <w:rPr>
                          <w:b/>
                          <w:sz w:val="24"/>
                          <w:szCs w:val="24"/>
                        </w:rPr>
                        <w:tab/>
                      </w:r>
                      <w:r w:rsidRPr="00BE42F7">
                        <w:rPr>
                          <w:b/>
                          <w:sz w:val="24"/>
                          <w:szCs w:val="24"/>
                        </w:rPr>
                        <w:tab/>
                        <w:t>0%</w:t>
                      </w:r>
                      <w:r w:rsidRPr="00BE42F7">
                        <w:rPr>
                          <w:b/>
                          <w:sz w:val="24"/>
                          <w:szCs w:val="24"/>
                        </w:rPr>
                        <w:tab/>
                      </w:r>
                      <w:r w:rsidRPr="00BE42F7">
                        <w:rPr>
                          <w:b/>
                          <w:sz w:val="24"/>
                          <w:szCs w:val="24"/>
                        </w:rPr>
                        <w:tab/>
                      </w:r>
                      <w:r w:rsidRPr="00BE42F7">
                        <w:rPr>
                          <w:b/>
                          <w:sz w:val="24"/>
                          <w:szCs w:val="24"/>
                        </w:rPr>
                        <w:tab/>
                      </w:r>
                      <w:r w:rsidRPr="00BE42F7">
                        <w:rPr>
                          <w:b/>
                          <w:sz w:val="24"/>
                          <w:szCs w:val="24"/>
                        </w:rPr>
                        <w:tab/>
                      </w:r>
                      <w:r w:rsidRPr="00BE42F7">
                        <w:rPr>
                          <w:b/>
                          <w:sz w:val="24"/>
                          <w:szCs w:val="24"/>
                        </w:rPr>
                        <w:tab/>
                      </w:r>
                    </w:p>
                    <w:p w14:paraId="55D45820" w14:textId="40BDDD78" w:rsidR="00BE42F7" w:rsidRPr="00BE42F7" w:rsidRDefault="00BE42F7" w:rsidP="00BE42F7">
                      <w:pPr>
                        <w:rPr>
                          <w:color w:val="ED7D31" w:themeColor="accent2"/>
                          <w:sz w:val="24"/>
                          <w:szCs w:val="24"/>
                        </w:rPr>
                      </w:pPr>
                      <w:r>
                        <w:rPr>
                          <w:b/>
                          <w:color w:val="5B9BD5" w:themeColor="accent1"/>
                          <w:sz w:val="24"/>
                          <w:szCs w:val="24"/>
                        </w:rPr>
                        <w:t>£</w:t>
                      </w:r>
                      <w:r w:rsidRPr="00BE42F7">
                        <w:rPr>
                          <w:b/>
                          <w:color w:val="5B9BD5" w:themeColor="accent1"/>
                          <w:sz w:val="24"/>
                          <w:szCs w:val="24"/>
                        </w:rPr>
                        <w:t>656.33</w:t>
                      </w:r>
                      <w:r>
                        <w:rPr>
                          <w:b/>
                          <w:sz w:val="24"/>
                          <w:szCs w:val="24"/>
                        </w:rPr>
                        <w:t xml:space="preserve"> </w:t>
                      </w:r>
                      <w:r w:rsidRPr="00BE42F7">
                        <w:rPr>
                          <w:b/>
                          <w:color w:val="ED7D31" w:themeColor="accent2"/>
                          <w:sz w:val="24"/>
                          <w:szCs w:val="24"/>
                        </w:rPr>
                        <w:t>£633.33</w:t>
                      </w:r>
                      <w:r w:rsidRPr="00BE42F7">
                        <w:rPr>
                          <w:b/>
                          <w:color w:val="ED7D31" w:themeColor="accent2"/>
                          <w:sz w:val="24"/>
                          <w:szCs w:val="24"/>
                        </w:rPr>
                        <w:tab/>
                      </w:r>
                      <w:r w:rsidRPr="00BE42F7">
                        <w:rPr>
                          <w:b/>
                          <w:color w:val="ED7D31" w:themeColor="accent2"/>
                          <w:sz w:val="24"/>
                          <w:szCs w:val="24"/>
                        </w:rPr>
                        <w:tab/>
                      </w:r>
                      <w:r w:rsidRPr="00BE42F7">
                        <w:rPr>
                          <w:b/>
                          <w:color w:val="ED7D31" w:themeColor="accent2"/>
                          <w:sz w:val="24"/>
                          <w:szCs w:val="24"/>
                        </w:rPr>
                        <w:tab/>
                      </w:r>
                      <w:r w:rsidRPr="00BE42F7">
                        <w:rPr>
                          <w:b/>
                          <w:color w:val="5B9BD5" w:themeColor="accent1"/>
                          <w:sz w:val="24"/>
                          <w:szCs w:val="24"/>
                        </w:rPr>
                        <w:t>£500</w:t>
                      </w:r>
                      <w:r w:rsidRPr="00BE42F7">
                        <w:rPr>
                          <w:b/>
                          <w:color w:val="ED7D31" w:themeColor="accent2"/>
                          <w:sz w:val="24"/>
                          <w:szCs w:val="24"/>
                        </w:rPr>
                        <w:tab/>
                        <w:t>£500</w:t>
                      </w:r>
                      <w:r w:rsidRPr="00BE42F7">
                        <w:rPr>
                          <w:b/>
                          <w:color w:val="ED7D31" w:themeColor="accent2"/>
                          <w:sz w:val="24"/>
                          <w:szCs w:val="24"/>
                        </w:rPr>
                        <w:tab/>
                      </w:r>
                      <w:r w:rsidRPr="00BE42F7">
                        <w:rPr>
                          <w:b/>
                          <w:color w:val="ED7D31" w:themeColor="accent2"/>
                          <w:sz w:val="24"/>
                          <w:szCs w:val="24"/>
                        </w:rPr>
                        <w:tab/>
                      </w:r>
                      <w:r w:rsidRPr="00BE42F7">
                        <w:rPr>
                          <w:b/>
                          <w:color w:val="ED7D31" w:themeColor="accent2"/>
                          <w:sz w:val="24"/>
                          <w:szCs w:val="24"/>
                        </w:rPr>
                        <w:tab/>
                      </w:r>
                      <w:r w:rsidRPr="00BE42F7">
                        <w:rPr>
                          <w:b/>
                          <w:color w:val="5B9BD5" w:themeColor="accent1"/>
                          <w:sz w:val="24"/>
                          <w:szCs w:val="24"/>
                        </w:rPr>
                        <w:t>1.12%</w:t>
                      </w:r>
                      <w:r w:rsidRPr="00BE42F7">
                        <w:rPr>
                          <w:b/>
                          <w:color w:val="5B9BD5" w:themeColor="accent1"/>
                          <w:sz w:val="24"/>
                          <w:szCs w:val="24"/>
                        </w:rPr>
                        <w:tab/>
                      </w:r>
                      <w:r w:rsidRPr="00BE42F7">
                        <w:rPr>
                          <w:b/>
                          <w:color w:val="ED7D31" w:themeColor="accent2"/>
                          <w:sz w:val="24"/>
                          <w:szCs w:val="24"/>
                        </w:rPr>
                        <w:t>&lt;1%</w:t>
                      </w:r>
                    </w:p>
                  </w:txbxContent>
                </v:textbox>
                <w10:wrap type="square" anchorx="margin"/>
              </v:shape>
            </w:pict>
          </mc:Fallback>
        </mc:AlternateContent>
      </w:r>
    </w:p>
    <w:p w14:paraId="1F75D8C0" w14:textId="77777777" w:rsidR="0096435F" w:rsidRPr="00942DD8" w:rsidRDefault="0096435F" w:rsidP="0096435F">
      <w:pPr>
        <w:spacing w:before="51"/>
        <w:jc w:val="both"/>
        <w:rPr>
          <w:rFonts w:cs="Calibri"/>
          <w:sz w:val="26"/>
          <w:szCs w:val="26"/>
        </w:rPr>
      </w:pPr>
      <w:r w:rsidRPr="00942DD8">
        <w:rPr>
          <w:b/>
          <w:spacing w:val="2"/>
          <w:sz w:val="26"/>
          <w:szCs w:val="26"/>
        </w:rPr>
        <w:t>A</w:t>
      </w:r>
      <w:r w:rsidRPr="00942DD8">
        <w:rPr>
          <w:b/>
          <w:sz w:val="26"/>
          <w:szCs w:val="26"/>
        </w:rPr>
        <w:t xml:space="preserve">ddressing </w:t>
      </w:r>
      <w:r w:rsidRPr="00942DD8">
        <w:rPr>
          <w:b/>
          <w:spacing w:val="4"/>
          <w:sz w:val="26"/>
          <w:szCs w:val="26"/>
        </w:rPr>
        <w:t>the</w:t>
      </w:r>
      <w:r w:rsidRPr="00942DD8">
        <w:rPr>
          <w:b/>
          <w:spacing w:val="-16"/>
          <w:sz w:val="26"/>
          <w:szCs w:val="26"/>
        </w:rPr>
        <w:t xml:space="preserve"> </w:t>
      </w:r>
      <w:r w:rsidRPr="00942DD8">
        <w:rPr>
          <w:b/>
          <w:sz w:val="26"/>
          <w:szCs w:val="26"/>
        </w:rPr>
        <w:t>gap</w:t>
      </w:r>
    </w:p>
    <w:p w14:paraId="2C88BDD3" w14:textId="77777777" w:rsidR="0096435F" w:rsidRDefault="0096435F" w:rsidP="004B7E30">
      <w:pPr>
        <w:rPr>
          <w:sz w:val="24"/>
          <w:szCs w:val="24"/>
        </w:rPr>
      </w:pPr>
    </w:p>
    <w:p w14:paraId="14F2A646" w14:textId="77777777" w:rsidR="00520F24" w:rsidRDefault="0096435F" w:rsidP="004B7E30">
      <w:pPr>
        <w:rPr>
          <w:sz w:val="24"/>
          <w:szCs w:val="24"/>
        </w:rPr>
      </w:pPr>
      <w:r>
        <w:rPr>
          <w:sz w:val="24"/>
          <w:szCs w:val="24"/>
        </w:rPr>
        <w:t xml:space="preserve">Whilst we are pleased to report that we remain ahead of the sector, this does not reduce the appetite at the university to improve in this area. The university has recently updated </w:t>
      </w:r>
      <w:r w:rsidR="0024637D">
        <w:rPr>
          <w:sz w:val="24"/>
          <w:szCs w:val="24"/>
        </w:rPr>
        <w:t>its</w:t>
      </w:r>
      <w:r>
        <w:rPr>
          <w:sz w:val="24"/>
          <w:szCs w:val="24"/>
        </w:rPr>
        <w:t xml:space="preserve"> diversity training, which new employees will undertake as part of their mandatory training, alongside existing colleagues who will complete it as part of their ongoing CPD. </w:t>
      </w:r>
    </w:p>
    <w:p w14:paraId="2661D9D1" w14:textId="77777777" w:rsidR="00520F24" w:rsidRDefault="00520F24" w:rsidP="004B7E30">
      <w:pPr>
        <w:rPr>
          <w:sz w:val="24"/>
          <w:szCs w:val="24"/>
        </w:rPr>
      </w:pPr>
    </w:p>
    <w:p w14:paraId="70E231F7" w14:textId="41D46E23" w:rsidR="0096435F" w:rsidRDefault="0096435F">
      <w:pPr>
        <w:rPr>
          <w:sz w:val="24"/>
          <w:szCs w:val="24"/>
        </w:rPr>
      </w:pPr>
      <w:r w:rsidRPr="23CCF81C">
        <w:rPr>
          <w:sz w:val="24"/>
          <w:szCs w:val="24"/>
        </w:rPr>
        <w:t xml:space="preserve">Positive action statements are </w:t>
      </w:r>
      <w:r w:rsidR="00F94B57" w:rsidRPr="23CCF81C">
        <w:rPr>
          <w:sz w:val="24"/>
          <w:szCs w:val="24"/>
        </w:rPr>
        <w:t>utilised in</w:t>
      </w:r>
      <w:r w:rsidR="58EF73A9" w:rsidRPr="23CCF81C">
        <w:rPr>
          <w:sz w:val="24"/>
          <w:szCs w:val="24"/>
        </w:rPr>
        <w:t xml:space="preserve"> </w:t>
      </w:r>
      <w:r w:rsidR="00F94B57" w:rsidRPr="23CCF81C">
        <w:rPr>
          <w:sz w:val="24"/>
          <w:szCs w:val="24"/>
        </w:rPr>
        <w:t>recruitment in</w:t>
      </w:r>
      <w:r w:rsidRPr="23CCF81C">
        <w:rPr>
          <w:sz w:val="24"/>
          <w:szCs w:val="24"/>
        </w:rPr>
        <w:t xml:space="preserve"> relation to underrepresentation of </w:t>
      </w:r>
      <w:r w:rsidRPr="23CCF81C">
        <w:rPr>
          <w:sz w:val="24"/>
          <w:szCs w:val="24"/>
        </w:rPr>
        <w:lastRenderedPageBreak/>
        <w:t>specific groups</w:t>
      </w:r>
      <w:r w:rsidR="00CE0D8D" w:rsidRPr="23CCF81C">
        <w:rPr>
          <w:sz w:val="24"/>
          <w:szCs w:val="24"/>
        </w:rPr>
        <w:t xml:space="preserve"> (including gender)</w:t>
      </w:r>
      <w:r w:rsidRPr="23CCF81C">
        <w:rPr>
          <w:sz w:val="24"/>
          <w:szCs w:val="24"/>
        </w:rPr>
        <w:t xml:space="preserve"> against the relevant vacant roles and </w:t>
      </w:r>
      <w:r w:rsidR="04089898" w:rsidRPr="23CCF81C">
        <w:rPr>
          <w:sz w:val="24"/>
          <w:szCs w:val="24"/>
        </w:rPr>
        <w:t>as referred to above</w:t>
      </w:r>
      <w:r w:rsidR="000173D5">
        <w:rPr>
          <w:sz w:val="24"/>
          <w:szCs w:val="24"/>
        </w:rPr>
        <w:t>,</w:t>
      </w:r>
      <w:r w:rsidR="04089898" w:rsidRPr="23CCF81C">
        <w:rPr>
          <w:sz w:val="24"/>
          <w:szCs w:val="24"/>
        </w:rPr>
        <w:t xml:space="preserve"> </w:t>
      </w:r>
      <w:r w:rsidRPr="23CCF81C">
        <w:rPr>
          <w:sz w:val="24"/>
          <w:szCs w:val="24"/>
        </w:rPr>
        <w:t xml:space="preserve">the EDIW Committee will </w:t>
      </w:r>
      <w:r w:rsidR="60F6AD5A" w:rsidRPr="23CCF81C">
        <w:rPr>
          <w:sz w:val="24"/>
          <w:szCs w:val="24"/>
        </w:rPr>
        <w:t xml:space="preserve">consider </w:t>
      </w:r>
      <w:r w:rsidRPr="23CCF81C">
        <w:rPr>
          <w:sz w:val="24"/>
          <w:szCs w:val="24"/>
        </w:rPr>
        <w:t>recommendations linked directly to this report</w:t>
      </w:r>
      <w:r w:rsidR="000173D5">
        <w:rPr>
          <w:sz w:val="24"/>
          <w:szCs w:val="24"/>
        </w:rPr>
        <w:t>.</w:t>
      </w:r>
    </w:p>
    <w:p w14:paraId="2075B6B5" w14:textId="77777777" w:rsidR="00520F24" w:rsidRDefault="00520F24" w:rsidP="004B7E30">
      <w:pPr>
        <w:rPr>
          <w:sz w:val="24"/>
          <w:szCs w:val="24"/>
        </w:rPr>
      </w:pPr>
    </w:p>
    <w:p w14:paraId="51E06C55" w14:textId="14E53D87" w:rsidR="008F7E87" w:rsidRDefault="008F7E87" w:rsidP="004B7E30">
      <w:pPr>
        <w:rPr>
          <w:sz w:val="24"/>
          <w:szCs w:val="24"/>
        </w:rPr>
      </w:pPr>
      <w:r w:rsidRPr="23CCF81C">
        <w:rPr>
          <w:sz w:val="24"/>
          <w:szCs w:val="24"/>
        </w:rPr>
        <w:t xml:space="preserve">Further </w:t>
      </w:r>
      <w:r w:rsidR="5955F91F" w:rsidRPr="23CCF81C">
        <w:rPr>
          <w:sz w:val="24"/>
          <w:szCs w:val="24"/>
        </w:rPr>
        <w:t xml:space="preserve">planned </w:t>
      </w:r>
      <w:r w:rsidRPr="23CCF81C">
        <w:rPr>
          <w:sz w:val="24"/>
          <w:szCs w:val="24"/>
        </w:rPr>
        <w:t>measures to contribute towards improving gender equality and the gender pay gap include:</w:t>
      </w:r>
    </w:p>
    <w:p w14:paraId="0854EE36" w14:textId="1CD7DE9E" w:rsidR="008F7E87" w:rsidRDefault="008F7E87" w:rsidP="004B7E30">
      <w:pPr>
        <w:rPr>
          <w:sz w:val="24"/>
          <w:szCs w:val="24"/>
        </w:rPr>
      </w:pPr>
    </w:p>
    <w:p w14:paraId="20841590" w14:textId="00B326A3" w:rsidR="008F7E87" w:rsidRDefault="008F7E87" w:rsidP="008F7E87">
      <w:pPr>
        <w:pStyle w:val="ListParagraph"/>
        <w:numPr>
          <w:ilvl w:val="0"/>
          <w:numId w:val="2"/>
        </w:numPr>
        <w:rPr>
          <w:sz w:val="24"/>
          <w:szCs w:val="24"/>
        </w:rPr>
      </w:pPr>
      <w:r>
        <w:rPr>
          <w:sz w:val="24"/>
          <w:szCs w:val="24"/>
        </w:rPr>
        <w:t>Develop and implement an overarching EDI policy</w:t>
      </w:r>
    </w:p>
    <w:p w14:paraId="2772504D" w14:textId="35D082EA" w:rsidR="008F7E87" w:rsidRDefault="008F7E87" w:rsidP="008F7E87">
      <w:pPr>
        <w:pStyle w:val="ListParagraph"/>
        <w:numPr>
          <w:ilvl w:val="0"/>
          <w:numId w:val="2"/>
        </w:numPr>
        <w:rPr>
          <w:sz w:val="24"/>
          <w:szCs w:val="24"/>
        </w:rPr>
      </w:pPr>
      <w:r>
        <w:rPr>
          <w:sz w:val="24"/>
          <w:szCs w:val="24"/>
        </w:rPr>
        <w:t>Review our Equality Impact Assessment guidance</w:t>
      </w:r>
    </w:p>
    <w:p w14:paraId="1B3B0C59" w14:textId="7955DA90" w:rsidR="00766EB1" w:rsidRDefault="00766EB1" w:rsidP="008F7E87">
      <w:pPr>
        <w:pStyle w:val="ListParagraph"/>
        <w:numPr>
          <w:ilvl w:val="0"/>
          <w:numId w:val="2"/>
        </w:numPr>
        <w:rPr>
          <w:sz w:val="24"/>
          <w:szCs w:val="24"/>
        </w:rPr>
      </w:pPr>
      <w:r>
        <w:rPr>
          <w:sz w:val="24"/>
          <w:szCs w:val="24"/>
        </w:rPr>
        <w:t>Review processes for application of bonus payments and additional responsibility</w:t>
      </w:r>
    </w:p>
    <w:p w14:paraId="6DAEB20F" w14:textId="27C3BC95" w:rsidR="00766EB1" w:rsidRDefault="00766EB1" w:rsidP="008F7E87">
      <w:pPr>
        <w:pStyle w:val="ListParagraph"/>
        <w:numPr>
          <w:ilvl w:val="0"/>
          <w:numId w:val="2"/>
        </w:numPr>
        <w:rPr>
          <w:sz w:val="24"/>
          <w:szCs w:val="24"/>
        </w:rPr>
      </w:pPr>
      <w:r>
        <w:rPr>
          <w:sz w:val="24"/>
          <w:szCs w:val="24"/>
        </w:rPr>
        <w:t xml:space="preserve">Review how bonus payment and additional responsibility processes are communicated to managers to ensure </w:t>
      </w:r>
      <w:r w:rsidR="00D872E4">
        <w:rPr>
          <w:sz w:val="24"/>
          <w:szCs w:val="24"/>
        </w:rPr>
        <w:t xml:space="preserve">transparency and </w:t>
      </w:r>
      <w:r>
        <w:rPr>
          <w:sz w:val="24"/>
          <w:szCs w:val="24"/>
        </w:rPr>
        <w:t>consistency of application</w:t>
      </w:r>
    </w:p>
    <w:p w14:paraId="4C5E11EE" w14:textId="5F6A08CD" w:rsidR="00766EB1" w:rsidRDefault="00766EB1" w:rsidP="008F7E87">
      <w:pPr>
        <w:pStyle w:val="ListParagraph"/>
        <w:numPr>
          <w:ilvl w:val="0"/>
          <w:numId w:val="2"/>
        </w:numPr>
        <w:rPr>
          <w:sz w:val="24"/>
          <w:szCs w:val="24"/>
        </w:rPr>
      </w:pPr>
      <w:r>
        <w:rPr>
          <w:sz w:val="24"/>
          <w:szCs w:val="24"/>
        </w:rPr>
        <w:t>Deeper analysis of data to identify all potential aspects of bias, beyond just gender</w:t>
      </w:r>
    </w:p>
    <w:p w14:paraId="01E0833B" w14:textId="586987B1" w:rsidR="00766EB1" w:rsidRDefault="00766EB1" w:rsidP="008F7E87">
      <w:pPr>
        <w:pStyle w:val="ListParagraph"/>
        <w:numPr>
          <w:ilvl w:val="0"/>
          <w:numId w:val="2"/>
        </w:numPr>
        <w:rPr>
          <w:sz w:val="24"/>
          <w:szCs w:val="24"/>
        </w:rPr>
      </w:pPr>
      <w:r>
        <w:rPr>
          <w:sz w:val="24"/>
          <w:szCs w:val="24"/>
        </w:rPr>
        <w:t>Consider including a section on bonus/honorarium or additional responsibility payments, within the PPDR</w:t>
      </w:r>
    </w:p>
    <w:p w14:paraId="6DCE0F70" w14:textId="6DEB8DE3" w:rsidR="008F7E87" w:rsidRDefault="008F7E87" w:rsidP="008F7E87">
      <w:pPr>
        <w:pStyle w:val="ListParagraph"/>
        <w:numPr>
          <w:ilvl w:val="0"/>
          <w:numId w:val="2"/>
        </w:numPr>
        <w:rPr>
          <w:sz w:val="24"/>
          <w:szCs w:val="24"/>
        </w:rPr>
      </w:pPr>
      <w:r>
        <w:rPr>
          <w:sz w:val="24"/>
          <w:szCs w:val="24"/>
        </w:rPr>
        <w:t>Achieve Stonewall WEI Bronze Award</w:t>
      </w:r>
    </w:p>
    <w:p w14:paraId="6E320987" w14:textId="23848291" w:rsidR="008F7E87" w:rsidRPr="008F7E87" w:rsidRDefault="008F7E87" w:rsidP="008F7E87">
      <w:pPr>
        <w:pStyle w:val="ListParagraph"/>
        <w:numPr>
          <w:ilvl w:val="0"/>
          <w:numId w:val="2"/>
        </w:numPr>
        <w:rPr>
          <w:sz w:val="24"/>
          <w:szCs w:val="24"/>
        </w:rPr>
      </w:pPr>
      <w:r>
        <w:rPr>
          <w:sz w:val="24"/>
          <w:szCs w:val="24"/>
        </w:rPr>
        <w:t>Maintain and improve on our THE Impact 2020 Ranking of UK Top 15 for Gender Equality</w:t>
      </w:r>
    </w:p>
    <w:sectPr w:rsidR="008F7E87" w:rsidRPr="008F7E8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3A8C" w14:textId="77777777" w:rsidR="000C1BE6" w:rsidRDefault="000C1BE6" w:rsidP="000C1BE6">
      <w:r>
        <w:separator/>
      </w:r>
    </w:p>
  </w:endnote>
  <w:endnote w:type="continuationSeparator" w:id="0">
    <w:p w14:paraId="1355FDD3" w14:textId="77777777" w:rsidR="000C1BE6" w:rsidRDefault="000C1BE6" w:rsidP="000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129677"/>
      <w:docPartObj>
        <w:docPartGallery w:val="Page Numbers (Bottom of Page)"/>
        <w:docPartUnique/>
      </w:docPartObj>
    </w:sdtPr>
    <w:sdtEndPr>
      <w:rPr>
        <w:noProof/>
      </w:rPr>
    </w:sdtEndPr>
    <w:sdtContent>
      <w:p w14:paraId="7CF1A3A8" w14:textId="00614789" w:rsidR="000C1BE6" w:rsidRDefault="000C1BE6">
        <w:pPr>
          <w:pStyle w:val="Footer"/>
          <w:jc w:val="right"/>
        </w:pPr>
        <w:r>
          <w:fldChar w:fldCharType="begin"/>
        </w:r>
        <w:r>
          <w:instrText xml:space="preserve"> PAGE   \* MERGEFORMAT </w:instrText>
        </w:r>
        <w:r>
          <w:fldChar w:fldCharType="separate"/>
        </w:r>
        <w:r w:rsidR="008E5A32">
          <w:rPr>
            <w:noProof/>
          </w:rPr>
          <w:t>1</w:t>
        </w:r>
        <w:r>
          <w:rPr>
            <w:noProof/>
          </w:rPr>
          <w:fldChar w:fldCharType="end"/>
        </w:r>
      </w:p>
    </w:sdtContent>
  </w:sdt>
  <w:p w14:paraId="5D205219" w14:textId="77777777" w:rsidR="000C1BE6" w:rsidRDefault="000C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8F1BC" w14:textId="77777777" w:rsidR="000C1BE6" w:rsidRDefault="000C1BE6" w:rsidP="000C1BE6">
      <w:r>
        <w:separator/>
      </w:r>
    </w:p>
  </w:footnote>
  <w:footnote w:type="continuationSeparator" w:id="0">
    <w:p w14:paraId="4B30C72A" w14:textId="77777777" w:rsidR="000C1BE6" w:rsidRDefault="000C1BE6" w:rsidP="000C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4447"/>
    <w:multiLevelType w:val="hybridMultilevel"/>
    <w:tmpl w:val="2DF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E035D"/>
    <w:multiLevelType w:val="hybridMultilevel"/>
    <w:tmpl w:val="52AC1214"/>
    <w:lvl w:ilvl="0" w:tplc="E2E05D98">
      <w:start w:val="1"/>
      <w:numFmt w:val="bullet"/>
      <w:lvlText w:val=""/>
      <w:lvlJc w:val="left"/>
      <w:pPr>
        <w:tabs>
          <w:tab w:val="num" w:pos="720"/>
        </w:tabs>
        <w:ind w:left="720" w:hanging="360"/>
      </w:pPr>
      <w:rPr>
        <w:rFonts w:ascii="Symbol" w:hAnsi="Symbol" w:hint="default"/>
      </w:rPr>
    </w:lvl>
    <w:lvl w:ilvl="1" w:tplc="25D27206" w:tentative="1">
      <w:start w:val="1"/>
      <w:numFmt w:val="decimal"/>
      <w:lvlText w:val="%2."/>
      <w:lvlJc w:val="left"/>
      <w:pPr>
        <w:tabs>
          <w:tab w:val="num" w:pos="1440"/>
        </w:tabs>
        <w:ind w:left="1440" w:hanging="360"/>
      </w:pPr>
    </w:lvl>
    <w:lvl w:ilvl="2" w:tplc="E15AD656" w:tentative="1">
      <w:start w:val="1"/>
      <w:numFmt w:val="decimal"/>
      <w:lvlText w:val="%3."/>
      <w:lvlJc w:val="left"/>
      <w:pPr>
        <w:tabs>
          <w:tab w:val="num" w:pos="2160"/>
        </w:tabs>
        <w:ind w:left="2160" w:hanging="360"/>
      </w:pPr>
    </w:lvl>
    <w:lvl w:ilvl="3" w:tplc="2DF0A13C" w:tentative="1">
      <w:start w:val="1"/>
      <w:numFmt w:val="decimal"/>
      <w:lvlText w:val="%4."/>
      <w:lvlJc w:val="left"/>
      <w:pPr>
        <w:tabs>
          <w:tab w:val="num" w:pos="2880"/>
        </w:tabs>
        <w:ind w:left="2880" w:hanging="360"/>
      </w:pPr>
    </w:lvl>
    <w:lvl w:ilvl="4" w:tplc="29B6A91E" w:tentative="1">
      <w:start w:val="1"/>
      <w:numFmt w:val="decimal"/>
      <w:lvlText w:val="%5."/>
      <w:lvlJc w:val="left"/>
      <w:pPr>
        <w:tabs>
          <w:tab w:val="num" w:pos="3600"/>
        </w:tabs>
        <w:ind w:left="3600" w:hanging="360"/>
      </w:pPr>
    </w:lvl>
    <w:lvl w:ilvl="5" w:tplc="5996336E" w:tentative="1">
      <w:start w:val="1"/>
      <w:numFmt w:val="decimal"/>
      <w:lvlText w:val="%6."/>
      <w:lvlJc w:val="left"/>
      <w:pPr>
        <w:tabs>
          <w:tab w:val="num" w:pos="4320"/>
        </w:tabs>
        <w:ind w:left="4320" w:hanging="360"/>
      </w:pPr>
    </w:lvl>
    <w:lvl w:ilvl="6" w:tplc="8BFA6BD4" w:tentative="1">
      <w:start w:val="1"/>
      <w:numFmt w:val="decimal"/>
      <w:lvlText w:val="%7."/>
      <w:lvlJc w:val="left"/>
      <w:pPr>
        <w:tabs>
          <w:tab w:val="num" w:pos="5040"/>
        </w:tabs>
        <w:ind w:left="5040" w:hanging="360"/>
      </w:pPr>
    </w:lvl>
    <w:lvl w:ilvl="7" w:tplc="3EC21802" w:tentative="1">
      <w:start w:val="1"/>
      <w:numFmt w:val="decimal"/>
      <w:lvlText w:val="%8."/>
      <w:lvlJc w:val="left"/>
      <w:pPr>
        <w:tabs>
          <w:tab w:val="num" w:pos="5760"/>
        </w:tabs>
        <w:ind w:left="5760" w:hanging="360"/>
      </w:pPr>
    </w:lvl>
    <w:lvl w:ilvl="8" w:tplc="661E1068" w:tentative="1">
      <w:start w:val="1"/>
      <w:numFmt w:val="decimal"/>
      <w:lvlText w:val="%9."/>
      <w:lvlJc w:val="left"/>
      <w:pPr>
        <w:tabs>
          <w:tab w:val="num" w:pos="6480"/>
        </w:tabs>
        <w:ind w:left="6480" w:hanging="360"/>
      </w:pPr>
    </w:lvl>
  </w:abstractNum>
  <w:abstractNum w:abstractNumId="2" w15:restartNumberingAfterBreak="0">
    <w:nsid w:val="50691ADD"/>
    <w:multiLevelType w:val="hybridMultilevel"/>
    <w:tmpl w:val="AB98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E6"/>
    <w:rsid w:val="000065B7"/>
    <w:rsid w:val="000167E6"/>
    <w:rsid w:val="000173D5"/>
    <w:rsid w:val="000347FC"/>
    <w:rsid w:val="000C1BE6"/>
    <w:rsid w:val="001E6E5E"/>
    <w:rsid w:val="00215156"/>
    <w:rsid w:val="00244CD0"/>
    <w:rsid w:val="0024637D"/>
    <w:rsid w:val="002A3B3A"/>
    <w:rsid w:val="002F0AB2"/>
    <w:rsid w:val="003E022F"/>
    <w:rsid w:val="0044668D"/>
    <w:rsid w:val="004B7E30"/>
    <w:rsid w:val="00520F24"/>
    <w:rsid w:val="00547962"/>
    <w:rsid w:val="00766EB1"/>
    <w:rsid w:val="008925EC"/>
    <w:rsid w:val="008E5A32"/>
    <w:rsid w:val="008F7E87"/>
    <w:rsid w:val="00952F50"/>
    <w:rsid w:val="0096435F"/>
    <w:rsid w:val="009B4B02"/>
    <w:rsid w:val="00B344E3"/>
    <w:rsid w:val="00B63652"/>
    <w:rsid w:val="00BE204B"/>
    <w:rsid w:val="00BE42F7"/>
    <w:rsid w:val="00C93B2B"/>
    <w:rsid w:val="00CE0D8D"/>
    <w:rsid w:val="00CE399C"/>
    <w:rsid w:val="00D61ED0"/>
    <w:rsid w:val="00D872E4"/>
    <w:rsid w:val="00E6644E"/>
    <w:rsid w:val="00F10E78"/>
    <w:rsid w:val="00F94B57"/>
    <w:rsid w:val="00FF5FD3"/>
    <w:rsid w:val="04089898"/>
    <w:rsid w:val="0960F337"/>
    <w:rsid w:val="0993AF5A"/>
    <w:rsid w:val="09CC2A0D"/>
    <w:rsid w:val="0F5B473F"/>
    <w:rsid w:val="13E2BD9C"/>
    <w:rsid w:val="16573DD6"/>
    <w:rsid w:val="1948201A"/>
    <w:rsid w:val="1ACCFB40"/>
    <w:rsid w:val="1BBB0DE7"/>
    <w:rsid w:val="1F2A845C"/>
    <w:rsid w:val="200B98B7"/>
    <w:rsid w:val="2286C74C"/>
    <w:rsid w:val="233266DF"/>
    <w:rsid w:val="23CCF81C"/>
    <w:rsid w:val="36F05974"/>
    <w:rsid w:val="388C29D5"/>
    <w:rsid w:val="3D5F9AF8"/>
    <w:rsid w:val="41B1A33B"/>
    <w:rsid w:val="47FB3C50"/>
    <w:rsid w:val="4F197CA9"/>
    <w:rsid w:val="58EF73A9"/>
    <w:rsid w:val="5955F91F"/>
    <w:rsid w:val="5A63F373"/>
    <w:rsid w:val="5B50EE62"/>
    <w:rsid w:val="5F167816"/>
    <w:rsid w:val="60F6AD5A"/>
    <w:rsid w:val="6446D59E"/>
    <w:rsid w:val="7124F7F6"/>
    <w:rsid w:val="7159078D"/>
    <w:rsid w:val="7244BB51"/>
    <w:rsid w:val="73353034"/>
    <w:rsid w:val="7884D323"/>
    <w:rsid w:val="7E2F0890"/>
    <w:rsid w:val="7E40BD08"/>
    <w:rsid w:val="7F01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0097"/>
  <w15:chartTrackingRefBased/>
  <w15:docId w15:val="{05F09B19-520B-425F-BAE9-0164B156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1BE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BE6"/>
    <w:pPr>
      <w:tabs>
        <w:tab w:val="center" w:pos="4513"/>
        <w:tab w:val="right" w:pos="9026"/>
      </w:tabs>
    </w:pPr>
  </w:style>
  <w:style w:type="character" w:customStyle="1" w:styleId="HeaderChar">
    <w:name w:val="Header Char"/>
    <w:basedOn w:val="DefaultParagraphFont"/>
    <w:link w:val="Header"/>
    <w:uiPriority w:val="99"/>
    <w:rsid w:val="000C1BE6"/>
  </w:style>
  <w:style w:type="paragraph" w:styleId="Footer">
    <w:name w:val="footer"/>
    <w:basedOn w:val="Normal"/>
    <w:link w:val="FooterChar"/>
    <w:uiPriority w:val="99"/>
    <w:unhideWhenUsed/>
    <w:rsid w:val="000C1BE6"/>
    <w:pPr>
      <w:tabs>
        <w:tab w:val="center" w:pos="4513"/>
        <w:tab w:val="right" w:pos="9026"/>
      </w:tabs>
    </w:pPr>
  </w:style>
  <w:style w:type="character" w:customStyle="1" w:styleId="FooterChar">
    <w:name w:val="Footer Char"/>
    <w:basedOn w:val="DefaultParagraphFont"/>
    <w:link w:val="Footer"/>
    <w:uiPriority w:val="99"/>
    <w:rsid w:val="000C1BE6"/>
  </w:style>
  <w:style w:type="paragraph" w:customStyle="1" w:styleId="Default">
    <w:name w:val="Default"/>
    <w:rsid w:val="004B7E30"/>
    <w:pPr>
      <w:autoSpaceDE w:val="0"/>
      <w:autoSpaceDN w:val="0"/>
      <w:adjustRightInd w:val="0"/>
      <w:spacing w:after="0" w:line="240" w:lineRule="auto"/>
    </w:pPr>
    <w:rPr>
      <w:rFonts w:ascii="Symbol" w:eastAsia="Calibri" w:hAnsi="Symbol" w:cs="Symbol"/>
      <w:color w:val="000000"/>
      <w:sz w:val="24"/>
      <w:szCs w:val="24"/>
      <w:lang w:val="en-GB"/>
    </w:rPr>
  </w:style>
  <w:style w:type="table" w:styleId="TableGrid">
    <w:name w:val="Table Grid"/>
    <w:basedOn w:val="TableNormal"/>
    <w:uiPriority w:val="39"/>
    <w:rsid w:val="004B7E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3652"/>
    <w:pPr>
      <w:ind w:left="133"/>
    </w:pPr>
    <w:rPr>
      <w:rFonts w:ascii="Calibri" w:eastAsia="Calibri" w:hAnsi="Calibri"/>
      <w:sz w:val="20"/>
      <w:szCs w:val="20"/>
    </w:rPr>
  </w:style>
  <w:style w:type="character" w:customStyle="1" w:styleId="BodyTextChar">
    <w:name w:val="Body Text Char"/>
    <w:basedOn w:val="DefaultParagraphFont"/>
    <w:link w:val="BodyText"/>
    <w:uiPriority w:val="1"/>
    <w:rsid w:val="00B63652"/>
    <w:rPr>
      <w:rFonts w:ascii="Calibri" w:eastAsia="Calibri" w:hAnsi="Calibri"/>
      <w:sz w:val="20"/>
      <w:szCs w:val="20"/>
    </w:rPr>
  </w:style>
  <w:style w:type="paragraph" w:styleId="ListParagraph">
    <w:name w:val="List Paragraph"/>
    <w:basedOn w:val="Normal"/>
    <w:uiPriority w:val="34"/>
    <w:qFormat/>
    <w:rsid w:val="008F7E87"/>
    <w:pPr>
      <w:ind w:left="720"/>
      <w:contextualSpacing/>
    </w:pPr>
  </w:style>
  <w:style w:type="character" w:styleId="PlaceholderText">
    <w:name w:val="Placeholder Text"/>
    <w:basedOn w:val="DefaultParagraphFont"/>
    <w:uiPriority w:val="99"/>
    <w:semiHidden/>
    <w:rsid w:val="00446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unicumbriaac.sharepoint.com/sites/SASS/HR/HR%20Operations/Forms/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Grade</a:t>
            </a:r>
            <a:r>
              <a:rPr lang="en-GB" baseline="0"/>
              <a:t> by Gender</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Female</c:v>
                </c:pt>
              </c:strCache>
            </c:strRef>
          </c:tx>
          <c:spPr>
            <a:solidFill>
              <a:schemeClr val="accent1"/>
            </a:solidFill>
            <a:ln>
              <a:noFill/>
            </a:ln>
            <a:effectLst/>
            <a:sp3d/>
          </c:spPr>
          <c:invertIfNegative val="0"/>
          <c:cat>
            <c:strRef>
              <c:f>Sheet1!$A$2:$A$14</c:f>
              <c:strCache>
                <c:ptCount val="13"/>
                <c:pt idx="0">
                  <c:v>Intern</c:v>
                </c:pt>
                <c:pt idx="1">
                  <c:v>Apprentices</c:v>
                </c:pt>
                <c:pt idx="2">
                  <c:v>Grade 1</c:v>
                </c:pt>
                <c:pt idx="3">
                  <c:v>Grade 2</c:v>
                </c:pt>
                <c:pt idx="4">
                  <c:v>Grade 3</c:v>
                </c:pt>
                <c:pt idx="5">
                  <c:v>Grade 4</c:v>
                </c:pt>
                <c:pt idx="6">
                  <c:v>Grade 5</c:v>
                </c:pt>
                <c:pt idx="7">
                  <c:v>Grade 6</c:v>
                </c:pt>
                <c:pt idx="8">
                  <c:v>Grade 7</c:v>
                </c:pt>
                <c:pt idx="9">
                  <c:v>Grade 8</c:v>
                </c:pt>
                <c:pt idx="10">
                  <c:v>Grade 9&amp;I</c:v>
                </c:pt>
                <c:pt idx="11">
                  <c:v>Grade 10</c:v>
                </c:pt>
                <c:pt idx="12">
                  <c:v>Corp Leader</c:v>
                </c:pt>
              </c:strCache>
            </c:strRef>
          </c:cat>
          <c:val>
            <c:numRef>
              <c:f>Sheet1!$B$2:$B$14</c:f>
              <c:numCache>
                <c:formatCode>General</c:formatCode>
                <c:ptCount val="13"/>
                <c:pt idx="0">
                  <c:v>-6</c:v>
                </c:pt>
                <c:pt idx="1">
                  <c:v>-1</c:v>
                </c:pt>
                <c:pt idx="2">
                  <c:v>-32</c:v>
                </c:pt>
                <c:pt idx="3">
                  <c:v>-8</c:v>
                </c:pt>
                <c:pt idx="4">
                  <c:v>-16</c:v>
                </c:pt>
                <c:pt idx="5">
                  <c:v>-87</c:v>
                </c:pt>
                <c:pt idx="6">
                  <c:v>-94</c:v>
                </c:pt>
                <c:pt idx="7">
                  <c:v>-98</c:v>
                </c:pt>
                <c:pt idx="8">
                  <c:v>-156</c:v>
                </c:pt>
                <c:pt idx="9">
                  <c:v>-144</c:v>
                </c:pt>
                <c:pt idx="10">
                  <c:v>-21</c:v>
                </c:pt>
                <c:pt idx="11">
                  <c:v>-2</c:v>
                </c:pt>
                <c:pt idx="12">
                  <c:v>-26</c:v>
                </c:pt>
              </c:numCache>
            </c:numRef>
          </c:val>
          <c:extLst>
            <c:ext xmlns:c16="http://schemas.microsoft.com/office/drawing/2014/chart" uri="{C3380CC4-5D6E-409C-BE32-E72D297353CC}">
              <c16:uniqueId val="{00000000-47BD-4E69-97AE-BDC3D61A73C6}"/>
            </c:ext>
          </c:extLst>
        </c:ser>
        <c:ser>
          <c:idx val="1"/>
          <c:order val="1"/>
          <c:tx>
            <c:strRef>
              <c:f>Sheet1!$C$1</c:f>
              <c:strCache>
                <c:ptCount val="1"/>
                <c:pt idx="0">
                  <c:v>Male</c:v>
                </c:pt>
              </c:strCache>
            </c:strRef>
          </c:tx>
          <c:spPr>
            <a:solidFill>
              <a:schemeClr val="accent2"/>
            </a:solidFill>
            <a:ln>
              <a:noFill/>
            </a:ln>
            <a:effectLst/>
            <a:sp3d/>
          </c:spPr>
          <c:invertIfNegative val="0"/>
          <c:cat>
            <c:strRef>
              <c:f>Sheet1!$A$2:$A$14</c:f>
              <c:strCache>
                <c:ptCount val="13"/>
                <c:pt idx="0">
                  <c:v>Intern</c:v>
                </c:pt>
                <c:pt idx="1">
                  <c:v>Apprentices</c:v>
                </c:pt>
                <c:pt idx="2">
                  <c:v>Grade 1</c:v>
                </c:pt>
                <c:pt idx="3">
                  <c:v>Grade 2</c:v>
                </c:pt>
                <c:pt idx="4">
                  <c:v>Grade 3</c:v>
                </c:pt>
                <c:pt idx="5">
                  <c:v>Grade 4</c:v>
                </c:pt>
                <c:pt idx="6">
                  <c:v>Grade 5</c:v>
                </c:pt>
                <c:pt idx="7">
                  <c:v>Grade 6</c:v>
                </c:pt>
                <c:pt idx="8">
                  <c:v>Grade 7</c:v>
                </c:pt>
                <c:pt idx="9">
                  <c:v>Grade 8</c:v>
                </c:pt>
                <c:pt idx="10">
                  <c:v>Grade 9&amp;I</c:v>
                </c:pt>
                <c:pt idx="11">
                  <c:v>Grade 10</c:v>
                </c:pt>
                <c:pt idx="12">
                  <c:v>Corp Leader</c:v>
                </c:pt>
              </c:strCache>
            </c:strRef>
          </c:cat>
          <c:val>
            <c:numRef>
              <c:f>Sheet1!$C$2:$C$14</c:f>
              <c:numCache>
                <c:formatCode>General</c:formatCode>
                <c:ptCount val="13"/>
                <c:pt idx="0">
                  <c:v>2</c:v>
                </c:pt>
                <c:pt idx="1">
                  <c:v>0</c:v>
                </c:pt>
                <c:pt idx="2">
                  <c:v>8</c:v>
                </c:pt>
                <c:pt idx="3">
                  <c:v>2</c:v>
                </c:pt>
                <c:pt idx="4">
                  <c:v>12</c:v>
                </c:pt>
                <c:pt idx="5">
                  <c:v>20</c:v>
                </c:pt>
                <c:pt idx="6">
                  <c:v>34</c:v>
                </c:pt>
                <c:pt idx="7">
                  <c:v>48</c:v>
                </c:pt>
                <c:pt idx="8">
                  <c:v>101</c:v>
                </c:pt>
                <c:pt idx="9">
                  <c:v>106</c:v>
                </c:pt>
                <c:pt idx="10">
                  <c:v>27</c:v>
                </c:pt>
                <c:pt idx="11">
                  <c:v>3</c:v>
                </c:pt>
                <c:pt idx="12">
                  <c:v>13</c:v>
                </c:pt>
              </c:numCache>
            </c:numRef>
          </c:val>
          <c:extLst>
            <c:ext xmlns:c16="http://schemas.microsoft.com/office/drawing/2014/chart" uri="{C3380CC4-5D6E-409C-BE32-E72D297353CC}">
              <c16:uniqueId val="{00000001-47BD-4E69-97AE-BDC3D61A73C6}"/>
            </c:ext>
          </c:extLst>
        </c:ser>
        <c:dLbls>
          <c:showLegendKey val="0"/>
          <c:showVal val="0"/>
          <c:showCatName val="0"/>
          <c:showSerName val="0"/>
          <c:showPercent val="0"/>
          <c:showBubbleSize val="0"/>
        </c:dLbls>
        <c:gapWidth val="150"/>
        <c:shape val="box"/>
        <c:axId val="657062776"/>
        <c:axId val="657063432"/>
        <c:axId val="0"/>
      </c:bar3DChart>
      <c:catAx>
        <c:axId val="657062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7063432"/>
        <c:crosses val="autoZero"/>
        <c:auto val="1"/>
        <c:lblAlgn val="ctr"/>
        <c:lblOffset val="100"/>
        <c:noMultiLvlLbl val="0"/>
      </c:catAx>
      <c:valAx>
        <c:axId val="657063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7062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GB"/>
              <a:t>Percentage of gender in each quartile</a:t>
            </a:r>
          </a:p>
        </c:rich>
      </c:tx>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Female</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Sheet1!$A$2:$A$5</c:f>
              <c:strCache>
                <c:ptCount val="4"/>
                <c:pt idx="0">
                  <c:v>Lower Quartile</c:v>
                </c:pt>
                <c:pt idx="1">
                  <c:v>Second Quartile</c:v>
                </c:pt>
                <c:pt idx="2">
                  <c:v>Third Quartile</c:v>
                </c:pt>
                <c:pt idx="3">
                  <c:v>Upper Quartile</c:v>
                </c:pt>
              </c:strCache>
            </c:strRef>
          </c:cat>
          <c:val>
            <c:numRef>
              <c:f>Sheet1!$B$2:$B$5</c:f>
              <c:numCache>
                <c:formatCode>General</c:formatCode>
                <c:ptCount val="4"/>
                <c:pt idx="0">
                  <c:v>72.7</c:v>
                </c:pt>
                <c:pt idx="1">
                  <c:v>67.3</c:v>
                </c:pt>
                <c:pt idx="2">
                  <c:v>60.2</c:v>
                </c:pt>
                <c:pt idx="3">
                  <c:v>57</c:v>
                </c:pt>
              </c:numCache>
            </c:numRef>
          </c:val>
          <c:extLst>
            <c:ext xmlns:c16="http://schemas.microsoft.com/office/drawing/2014/chart" uri="{C3380CC4-5D6E-409C-BE32-E72D297353CC}">
              <c16:uniqueId val="{00000000-F59C-406A-A998-7325CB3239E9}"/>
            </c:ext>
          </c:extLst>
        </c:ser>
        <c:ser>
          <c:idx val="1"/>
          <c:order val="1"/>
          <c:tx>
            <c:strRef>
              <c:f>Sheet1!$C$1</c:f>
              <c:strCache>
                <c:ptCount val="1"/>
                <c:pt idx="0">
                  <c:v>Male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Sheet1!$A$2:$A$5</c:f>
              <c:strCache>
                <c:ptCount val="4"/>
                <c:pt idx="0">
                  <c:v>Lower Quartile</c:v>
                </c:pt>
                <c:pt idx="1">
                  <c:v>Second Quartile</c:v>
                </c:pt>
                <c:pt idx="2">
                  <c:v>Third Quartile</c:v>
                </c:pt>
                <c:pt idx="3">
                  <c:v>Upper Quartile</c:v>
                </c:pt>
              </c:strCache>
            </c:strRef>
          </c:cat>
          <c:val>
            <c:numRef>
              <c:f>Sheet1!$C$2:$C$5</c:f>
              <c:numCache>
                <c:formatCode>General</c:formatCode>
                <c:ptCount val="4"/>
                <c:pt idx="0">
                  <c:v>27.3</c:v>
                </c:pt>
                <c:pt idx="1">
                  <c:v>32.700000000000003</c:v>
                </c:pt>
                <c:pt idx="2">
                  <c:v>39.799999999999997</c:v>
                </c:pt>
                <c:pt idx="3">
                  <c:v>43</c:v>
                </c:pt>
              </c:numCache>
            </c:numRef>
          </c:val>
          <c:extLst>
            <c:ext xmlns:c16="http://schemas.microsoft.com/office/drawing/2014/chart" uri="{C3380CC4-5D6E-409C-BE32-E72D297353CC}">
              <c16:uniqueId val="{00000001-F59C-406A-A998-7325CB3239E9}"/>
            </c:ext>
          </c:extLst>
        </c:ser>
        <c:dLbls>
          <c:showLegendKey val="0"/>
          <c:showVal val="1"/>
          <c:showCatName val="0"/>
          <c:showSerName val="0"/>
          <c:showPercent val="0"/>
          <c:showBubbleSize val="0"/>
        </c:dLbls>
        <c:gapWidth val="84"/>
        <c:gapDepth val="53"/>
        <c:shape val="box"/>
        <c:axId val="661188056"/>
        <c:axId val="661190352"/>
        <c:axId val="0"/>
      </c:bar3DChart>
      <c:catAx>
        <c:axId val="661188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61190352"/>
        <c:crosses val="autoZero"/>
        <c:auto val="1"/>
        <c:lblAlgn val="ctr"/>
        <c:lblOffset val="100"/>
        <c:noMultiLvlLbl val="0"/>
      </c:catAx>
      <c:valAx>
        <c:axId val="661190352"/>
        <c:scaling>
          <c:orientation val="minMax"/>
        </c:scaling>
        <c:delete val="1"/>
        <c:axPos val="l"/>
        <c:numFmt formatCode="General" sourceLinked="1"/>
        <c:majorTickMark val="out"/>
        <c:minorTickMark val="none"/>
        <c:tickLblPos val="nextTo"/>
        <c:crossAx val="6611880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EC"/>
    <w:rsid w:val="002F51F5"/>
    <w:rsid w:val="0089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5EC"/>
    <w:rPr>
      <w:color w:val="808080"/>
    </w:rPr>
  </w:style>
  <w:style w:type="paragraph" w:customStyle="1" w:styleId="E63E8A03ED8D4A72B41FCEF7C4AA0698">
    <w:name w:val="E63E8A03ED8D4A72B41FCEF7C4AA0698"/>
    <w:rsid w:val="008925EC"/>
  </w:style>
  <w:style w:type="paragraph" w:customStyle="1" w:styleId="9510E9A4E347460699EC2FEF1393CE01">
    <w:name w:val="9510E9A4E347460699EC2FEF1393CE01"/>
    <w:rsid w:val="00892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8d3dceea-1599-4e19-898e-cc9c5a7a36ff">
      <UserInfo>
        <DisplayName>Wilks, Sarah</DisplayName>
        <AccountId>5308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2DAC34FD1C7B3847BEB3832E6444DECA" ma:contentTypeVersion="14" ma:contentTypeDescription="Create a new document." ma:contentTypeScope="" ma:versionID="e6860dc6585ac3d5be00dfc04ff2bd58">
  <xsd:schema xmlns:xsd="http://www.w3.org/2001/XMLSchema" xmlns:xs="http://www.w3.org/2001/XMLSchema" xmlns:p="http://schemas.microsoft.com/office/2006/metadata/properties" xmlns:ns2="70ed59c3-7b21-47c3-b49b-02c065f1f03d" xmlns:ns3="8d3dceea-1599-4e19-898e-cc9c5a7a36ff" xmlns:ns4="http://schemas.microsoft.com/sharepoint/v4" targetNamespace="http://schemas.microsoft.com/office/2006/metadata/properties" ma:root="true" ma:fieldsID="029f8c846e4ab4b391563a04a752c83d" ns2:_="" ns3:_="" ns4:_="">
    <xsd:import namespace="70ed59c3-7b21-47c3-b49b-02c065f1f03d"/>
    <xsd:import namespace="8d3dceea-1599-4e19-898e-cc9c5a7a36f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d59c3-7b21-47c3-b49b-02c065f1f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dceea-1599-4e19-898e-cc9c5a7a36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6EDCC-DE34-4852-BDCA-2589A40BD2E4}">
  <ds:schemaRefs>
    <ds:schemaRef ds:uri="70ed59c3-7b21-47c3-b49b-02c065f1f03d"/>
    <ds:schemaRef ds:uri="http://schemas.microsoft.com/office/2006/documentManagement/types"/>
    <ds:schemaRef ds:uri="8d3dceea-1599-4e19-898e-cc9c5a7a36ff"/>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652BC5-04F2-4E3C-ACE0-526229324190}">
  <ds:schemaRefs>
    <ds:schemaRef ds:uri="http://schemas.microsoft.com/sharepoint/v3/contenttype/forms"/>
  </ds:schemaRefs>
</ds:datastoreItem>
</file>

<file path=customXml/itemProps3.xml><?xml version="1.0" encoding="utf-8"?>
<ds:datastoreItem xmlns:ds="http://schemas.openxmlformats.org/officeDocument/2006/customXml" ds:itemID="{FFFAA4F7-E298-4ABF-BDEC-03AAF15D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d59c3-7b21-47c3-b49b-02c065f1f03d"/>
    <ds:schemaRef ds:uri="8d3dceea-1599-4e19-898e-cc9c5a7a36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lee.mcdermott</dc:creator>
  <cp:keywords/>
  <dc:description/>
  <cp:lastModifiedBy>Mcdermott, Lee</cp:lastModifiedBy>
  <cp:revision>2</cp:revision>
  <dcterms:created xsi:type="dcterms:W3CDTF">2021-03-11T15:23:00Z</dcterms:created>
  <dcterms:modified xsi:type="dcterms:W3CDTF">2021-03-11T15:23:00Z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0x0101002DAC34FD1C7B3847BEB3832E6444DECA</vt:lpwstr>
  </property>
</Properties>
</file>