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spacing/>
        <w:rPr>
          <w:b/>
        </w:rPr>
      </w:pPr>
      <w:bookmarkStart w:id="2" w:name="_GoBack"/>
      <w:bookmarkEnd w:id="2"/>
      <w:r>
        <w:rPr>
          <w:b/>
        </w:rPr>
        <w:t xml:space="preserve">Creating and Maintaining the Effectiveness of Teachers in Scotland</w:t>
      </w:r>
    </w:p>
    <w:p>
      <w:pPr>
        <w:spacing/>
        <w:rPr>
          <w:b/>
        </w:rPr>
      </w:pPr>
      <w:r>
        <w:rPr>
          <w:b/>
        </w:rPr>
        <w:t xml:space="preserve">PART 1</w:t>
      </w:r>
    </w:p>
    <w:p>
      <w:pPr>
        <w:spacing/>
        <w:rPr>
          <w:b/>
          <w:i/>
        </w:rPr>
      </w:pPr>
      <w:r>
        <w:rPr>
          <w:b/>
          <w:i/>
        </w:rPr>
        <w:t xml:space="preserve">How will the new Standards impact on teacher education? Solutions and suggestions of how to respond</w:t>
      </w:r>
    </w:p>
    <w:p>
      <w:pPr>
        <w:spacing/>
        <w:rPr>
          <w:b/>
          <w:i/>
        </w:rPr>
      </w:pPr>
      <w:r>
        <w:rPr>
          <w:b/>
          <w:i/>
        </w:rPr>
        <w:t xml:space="preserve">Group 1/2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The fact that some people will have accomplishment in some areas but will still be working towards it in others. 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Need t</w:t>
      </w:r>
      <w:r>
        <w:rPr/>
        <w:t xml:space="preserve">o spell out clearly what will be expected at different leadership levels. Leadership of adults different from leadership of children/pupils.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Danger in ‘normalising’ leadership.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Needs to be a culture of enquiry through all Standards.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Leadership needs to be right from the beginning.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Teachers will be confronted with Standards.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Need to embed PRD process into universities too.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Point missing about supporting staff (whose responsibility?)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Obviously Standards will have to be embedded in universities.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Needs to be harmonisation of assessing standards against new Standards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Maybe need more on Teaching and Learning (SFR)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Still don’t have enough about pupil voice in the Standards.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Needs to be resourced system-wide.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Need better funding for universities to improve staffing quality.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Who will validate the authority PRD systems?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Need a consensus of what Masters level means in practice.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Vari</w:t>
      </w:r>
      <w:r>
        <w:rPr/>
        <w:t xml:space="preserve">ations in degree of Standards – some will have accomplishment in some areas, others working towards, therefore do we need 2 side by side?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Need to spell out leadership at each stage – thread running through.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Standards – need different versions? If so need to see the clear continuum, not 3 separate silos.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Masters level – definition where this appears in each standard. </w:t>
      </w:r>
    </w:p>
    <w:p>
      <w:pPr>
        <w:spacing/>
        <w:rPr>
          <w:b/>
          <w:i/>
        </w:rPr>
      </w:pPr>
      <w:r>
        <w:rPr>
          <w:b/>
          <w:i/>
        </w:rPr>
        <w:t xml:space="preserve">Group 3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1 Standard – 2 yr process (PGDE)/5 yr process (Bed) continuation of Standards into first year – happy with this.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Are the Standards sequential?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Aspirational – 21</w:t>
      </w:r>
      <w:r>
        <w:rPr>
          <w:vertAlign w:val="superscript"/>
        </w:rPr>
        <w:t xml:space="preserve">st</w:t>
      </w:r>
      <w:r>
        <w:rPr/>
        <w:t xml:space="preserve"> century profession but legislative? Improved PR and D.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If a teacher has reached SF and not interested in becoming accomplished or lead, what would happen? How could they be encouraged or should they be?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Does the profession have an expectation for all teachers to become accomplished/lead?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Culture shift – it’s happening and needs to continue.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‘Standard’ or ‘Framework’ for career-long professional learning?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How do we determine ‘accomplished’ or ‘lead’? Who makes this judgement? 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Changing ethos of CPD? Also professional learning?</w:t>
      </w:r>
    </w:p>
    <w:p>
      <w:pPr>
        <w:spacing/>
        <w:rPr>
          <w:b/>
          <w:i/>
        </w:rPr>
      </w:pPr>
    </w:p>
    <w:p>
      <w:pPr>
        <w:spacing/>
        <w:rPr>
          <w:b/>
          <w:i/>
        </w:rPr>
      </w:pPr>
    </w:p>
    <w:p>
      <w:pPr>
        <w:spacing/>
        <w:rPr>
          <w:b/>
          <w:i/>
        </w:rPr>
      </w:pPr>
      <w:r>
        <w:rPr>
          <w:b/>
          <w:i/>
        </w:rPr>
        <w:t xml:space="preserve">Group 4</w:t>
      </w:r>
    </w:p>
    <w:p>
      <w:pPr>
        <w:spacing w:after="0"/>
        <w:rPr/>
      </w:pPr>
      <w:r>
        <w:rPr/>
        <w:t xml:space="preserve">University roles: cultural change</w:t>
      </w:r>
    </w:p>
    <w:p>
      <w:pPr>
        <w:spacing w:after="0"/>
        <w:rPr/>
      </w:pPr>
    </w:p>
    <w:p>
      <w:pPr>
        <w:spacing w:after="0"/>
        <w:rPr/>
      </w:pPr>
      <w:r>
        <w:rPr/>
        <w:t xml:space="preserve">                     </w:t>
      </w:r>
      <w:r>
        <w:rPr/>
        <w:t xml:space="preserve">          Evaluative skills</w:t>
      </w:r>
      <w:r>
        <w:rPr/>
        <w:tab/>
        <w:t xml:space="preserve"/>
      </w:r>
      <w:r>
        <w:rPr/>
        <w:tab/>
        <w:t xml:space="preserve"/>
      </w:r>
      <w:r>
        <w:rPr/>
        <w:t xml:space="preserve">                   SITE</w:t>
      </w:r>
    </w:p>
    <w:p>
      <w:pPr>
        <w:spacing w:after="0"/>
        <w:rPr/>
      </w:pPr>
      <w:r>
        <w:rPr/>
        <w:t xml:space="preserve">                               Professional development </w:t>
      </w:r>
      <w:r>
        <w:rPr/>
        <w:t xml:space="preserve">                        to</w:t>
      </w:r>
    </w:p>
    <w:p>
      <w:pPr>
        <w:spacing w:after="0"/>
        <w:rPr/>
      </w:pPr>
      <w:r>
        <w:rPr/>
        <w:t xml:space="preserve">                               Assessment and evidence issues          SFR</w:t>
      </w:r>
    </w:p>
    <w:p>
      <w:pPr>
        <w:spacing w:after="0"/>
        <w:rPr/>
      </w:pPr>
      <w:r>
        <w:rPr/>
        <w:t xml:space="preserve">                               Critically reflect                                      Large jump for PGDE/ </w:t>
      </w:r>
    </w:p>
    <w:p>
      <w:pPr>
        <w:spacing w:after="0"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1 year course</w:t>
      </w:r>
    </w:p>
    <w:p>
      <w:pPr>
        <w:spacing w:after="0"/>
        <w:rPr/>
      </w:pPr>
      <w:r>
        <w:rPr/>
        <w:t xml:space="preserve">Institutional vision versus cultural change</w:t>
      </w:r>
    </w:p>
    <w:p>
      <w:pPr>
        <w:spacing w:after="0"/>
        <w:rPr/>
      </w:pPr>
      <w:r>
        <w:rPr/>
        <w:t xml:space="preserve">E-learning reflective tools</w:t>
      </w:r>
    </w:p>
    <w:p>
      <w:pPr>
        <w:spacing w:after="0"/>
        <w:rPr/>
      </w:pPr>
    </w:p>
    <w:p>
      <w:pPr>
        <w:spacing w:after="0"/>
        <w:rPr>
          <w:u w:val="single"/>
        </w:rPr>
      </w:pPr>
      <w:r>
        <w:rPr>
          <w:u w:val="single"/>
        </w:rPr>
        <w:t xml:space="preserve">Local authorities</w:t>
      </w:r>
    </w:p>
    <w:p>
      <w:pPr>
        <w:spacing w:after="0"/>
        <w:rPr/>
      </w:pPr>
      <w:r>
        <w:rPr/>
        <w:t xml:space="preserve">How robust the assessment is between student teachers. Clarification of role of supporting and assessing. Triad discussions useful at a range of levels.</w:t>
      </w:r>
    </w:p>
    <w:p>
      <w:pPr>
        <w:spacing w:after="0"/>
        <w:rPr/>
      </w:pPr>
      <w:r>
        <w:rPr/>
        <w:t xml:space="preserve">Potential use of peer support</w:t>
      </w:r>
    </w:p>
    <w:p>
      <w:pPr>
        <w:spacing w:after="0"/>
        <w:rPr/>
      </w:pPr>
    </w:p>
    <w:p>
      <w:pPr>
        <w:spacing w:after="0"/>
        <w:rPr/>
      </w:pPr>
      <w:r>
        <w:rPr/>
        <w:t xml:space="preserve">Where Probationers’ Action Plan is truly reflective</w:t>
      </w:r>
    </w:p>
    <w:p>
      <w:pPr>
        <w:spacing w:after="0"/>
        <w:rPr/>
      </w:pPr>
      <w:r>
        <w:rPr/>
        <w:t xml:space="preserve">Supporter skills – paraphrasing/coaching and collaboration – GTCS – coaching documentation.</w:t>
      </w:r>
    </w:p>
    <w:p>
      <w:pPr>
        <w:spacing w:after="0"/>
        <w:rPr/>
      </w:pPr>
    </w:p>
    <w:p>
      <w:pPr>
        <w:spacing w:after="0"/>
        <w:rPr>
          <w:u w:val="single"/>
        </w:rPr>
      </w:pPr>
      <w:r>
        <w:rPr>
          <w:u w:val="single"/>
        </w:rPr>
        <w:t xml:space="preserve">Generic issues</w:t>
      </w:r>
    </w:p>
    <w:p>
      <w:pPr>
        <w:pStyle w:val="ListParagraph"/>
        <w:numPr>
          <w:ilvl w:val="0"/>
          <w:numId w:val="4"/>
        </w:numPr>
        <w:spacing w:after="0"/>
        <w:rPr/>
      </w:pPr>
      <w:r>
        <w:rPr/>
        <w:t xml:space="preserve">Partnership approach to assessment e.g. agreed final CAS mark. Issues of placement experiences</w:t>
      </w:r>
    </w:p>
    <w:p>
      <w:pPr>
        <w:pStyle w:val="ListParagraph"/>
        <w:numPr>
          <w:ilvl w:val="0"/>
          <w:numId w:val="4"/>
        </w:numPr>
        <w:spacing w:after="0"/>
        <w:rPr/>
      </w:pPr>
      <w:r>
        <w:rPr/>
        <w:t xml:space="preserve">Probation supporters know Standard well.</w:t>
      </w:r>
    </w:p>
    <w:p>
      <w:pPr>
        <w:pStyle w:val="ListParagraph"/>
        <w:numPr>
          <w:ilvl w:val="0"/>
          <w:numId w:val="4"/>
        </w:numPr>
        <w:spacing w:after="0"/>
        <w:rPr/>
      </w:pPr>
      <w:r>
        <w:rPr/>
        <w:t xml:space="preserve">Need for professional judgement/professional conversations</w:t>
      </w:r>
    </w:p>
    <w:p>
      <w:pPr>
        <w:pStyle w:val="ListParagraph"/>
        <w:numPr>
          <w:ilvl w:val="0"/>
          <w:numId w:val="4"/>
        </w:numPr>
        <w:spacing w:after="0"/>
        <w:rPr/>
      </w:pPr>
      <w:r>
        <w:rPr/>
        <w:t xml:space="preserve">Don’t use Standards as a checklist, illustrated features</w:t>
      </w:r>
    </w:p>
    <w:p>
      <w:pPr>
        <w:pStyle w:val="ListParagraph"/>
        <w:numPr>
          <w:ilvl w:val="0"/>
          <w:numId w:val="4"/>
        </w:numPr>
        <w:spacing w:after="0"/>
        <w:rPr/>
      </w:pPr>
      <w:r>
        <w:rPr/>
        <w:t xml:space="preserve">The strongest and best source of evidence to pass an aspect</w:t>
      </w:r>
    </w:p>
    <w:p>
      <w:pPr>
        <w:pStyle w:val="ListParagraph"/>
        <w:numPr>
          <w:ilvl w:val="0"/>
          <w:numId w:val="4"/>
        </w:numPr>
        <w:spacing w:after="0"/>
        <w:rPr/>
      </w:pPr>
      <w:r>
        <w:rPr/>
        <w:t xml:space="preserve">Focus on </w:t>
      </w:r>
      <w:r>
        <w:rPr/>
        <w:t xml:space="preserve">self-reflection</w:t>
      </w:r>
      <w:r>
        <w:rPr/>
        <w:t xml:space="preserve"> – regular reflectives – self regulation</w:t>
      </w:r>
    </w:p>
    <w:p>
      <w:pPr>
        <w:pStyle w:val="ListParagraph"/>
        <w:spacing w:after="0"/>
        <w:rPr/>
      </w:pPr>
    </w:p>
    <w:p>
      <w:pPr>
        <w:spacing/>
        <w:rPr>
          <w:b/>
          <w:i/>
        </w:rPr>
      </w:pPr>
      <w:r>
        <w:rPr>
          <w:b/>
          <w:i/>
        </w:rPr>
        <w:t xml:space="preserve">Group 5</w:t>
      </w:r>
    </w:p>
    <w:p>
      <w:pPr>
        <w:spacing/>
        <w:jc w:val="center"/>
        <w:rPr/>
      </w:pPr>
      <w:r>
        <w:rPr/>
        <w:t xml:space="preserve">PROFESSIONAL PARTNERSHIP COMMUNICATION – MENTOR, LINE MANAGER, SCHOOL</w:t>
      </w:r>
    </w:p>
    <w:p>
      <w:pPr>
        <w:pStyle w:val="ListParagraph"/>
        <w:numPr>
          <w:ilvl w:val="0"/>
          <w:numId w:val="3"/>
        </w:numPr>
        <w:spacing/>
        <w:rPr/>
      </w:pPr>
      <w:r>
        <w:rPr/>
        <w:t xml:space="preserve">Merg</w:t>
      </w:r>
      <w:r>
        <w:rPr/>
        <w:t xml:space="preserve">ing of SITE/SFR not considered a problem – quantifiable? Expectations require clarification (not tick box, but holistic</w:t>
      </w:r>
      <w:r>
        <w:rPr/>
        <w:t xml:space="preserve">)</w:t>
      </w:r>
    </w:p>
    <w:p>
      <w:pPr>
        <w:spacing w:after="0"/>
        <w:ind w:left="720"/>
        <w:rPr/>
      </w:pPr>
      <w:r>
        <w:rPr/>
        <w:t xml:space="preserve">Shift – agent of</w:t>
      </w:r>
      <w:r>
        <w:rPr/>
        <w:tab/>
        <w:t xml:space="preserve"/>
      </w:r>
      <w:r>
        <w:rPr/>
        <w:tab/>
        <w:t xml:space="preserve"/>
      </w:r>
      <w:r>
        <w:rPr/>
        <w:t xml:space="preserve">Time</w:t>
      </w:r>
      <w:r>
        <w:rPr/>
        <w:t xml:space="preserve"> </w:t>
      </w:r>
      <w:r>
        <w:rPr/>
        <w:t xml:space="preserve">to reflect -</w:t>
      </w:r>
      <w:r>
        <w:rPr/>
        <w:tab/>
        <w:t xml:space="preserve"/>
      </w:r>
      <w:r>
        <w:rPr/>
        <w:tab/>
        <w:t xml:space="preserve"/>
      </w:r>
      <w:r>
        <w:rPr/>
        <w:t xml:space="preserve">5 year entrant and</w:t>
      </w:r>
    </w:p>
    <w:p>
      <w:pPr>
        <w:spacing w:after="0"/>
        <w:ind w:left="720"/>
        <w:rPr/>
      </w:pPr>
      <w:r>
        <w:rPr/>
        <w:t xml:space="preserve">Change and recipient</w:t>
      </w:r>
      <w:r>
        <w:rPr/>
        <w:t xml:space="preserve"> </w:t>
      </w:r>
      <w:r>
        <w:rPr/>
        <w:tab/>
        <w:t xml:space="preserve"/>
      </w:r>
      <w:r>
        <w:rPr/>
        <w:t xml:space="preserve">stocktake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5 year expectation</w:t>
      </w:r>
    </w:p>
    <w:p>
      <w:pPr>
        <w:spacing w:after="0"/>
        <w:ind w:left="720"/>
        <w:rPr/>
      </w:pPr>
      <w:r>
        <w:rPr/>
        <w:t xml:space="preserve">Change-managing 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Standards</w:t>
      </w:r>
    </w:p>
    <w:p>
      <w:pPr>
        <w:spacing w:after="0"/>
        <w:ind w:left="720"/>
        <w:rPr/>
      </w:pPr>
      <w:r>
        <w:rPr/>
        <w:t xml:space="preserve">Change process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Compati</w:t>
      </w:r>
      <w:r>
        <w:rPr/>
        <w:t xml:space="preserve">bility</w:t>
      </w:r>
    </w:p>
    <w:p>
      <w:pPr>
        <w:spacing w:after="0"/>
        <w:ind w:left="720"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Continuity</w:t>
      </w:r>
    </w:p>
    <w:p>
      <w:pPr>
        <w:spacing w:after="0"/>
        <w:ind w:left="720"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Systems</w:t>
      </w:r>
    </w:p>
    <w:p>
      <w:pPr>
        <w:spacing w:after="0"/>
        <w:ind w:left="720"/>
        <w:rPr/>
      </w:pPr>
    </w:p>
    <w:p>
      <w:pPr>
        <w:pStyle w:val="ListParagraph"/>
        <w:numPr>
          <w:ilvl w:val="0"/>
          <w:numId w:val="3"/>
        </w:numPr>
        <w:spacing w:after="0"/>
        <w:rPr/>
      </w:pPr>
      <w:r>
        <w:rPr/>
        <w:t xml:space="preserve">Career long professional learning</w:t>
      </w:r>
      <w:r>
        <w:rPr/>
        <w:t xml:space="preserve">: what is in it for me? Incentive – aspirations</w:t>
      </w:r>
    </w:p>
    <w:p>
      <w:pPr>
        <w:pStyle w:val="ListParagraph"/>
        <w:spacing/>
        <w:rPr/>
      </w:pPr>
      <w:r>
        <w:rPr/>
        <w:t xml:space="preserve">PDR system? Measured against SFR</w:t>
      </w:r>
    </w:p>
    <w:p>
      <w:pPr>
        <w:pStyle w:val="ListParagraph"/>
        <w:spacing/>
        <w:rPr/>
      </w:pPr>
      <w:r>
        <w:rPr/>
        <w:t xml:space="preserve">I</w:t>
      </w:r>
      <w:r>
        <w:rPr/>
        <w:t xml:space="preserve">ncrease reflection/ critical etc.</w:t>
      </w:r>
    </w:p>
    <w:p>
      <w:pPr>
        <w:pStyle w:val="ListParagraph"/>
        <w:numPr>
          <w:ilvl w:val="0"/>
          <w:numId w:val="3"/>
        </w:numPr>
        <w:spacing/>
        <w:rPr/>
      </w:pPr>
      <w:r>
        <w:rPr/>
        <w:t xml:space="preserve">Partnership links</w:t>
      </w:r>
    </w:p>
    <w:p>
      <w:pPr>
        <w:pStyle w:val="ListParagraph"/>
        <w:spacing/>
        <w:rPr/>
      </w:pPr>
      <w:r>
        <w:rPr/>
        <w:t xml:space="preserve">Recognition as positive move</w:t>
      </w:r>
    </w:p>
    <w:p>
      <w:pPr>
        <w:pStyle w:val="ListParagraph"/>
        <w:spacing/>
        <w:rPr/>
      </w:pPr>
    </w:p>
    <w:p>
      <w:pPr>
        <w:pStyle w:val="ListParagraph"/>
        <w:spacing/>
        <w:rPr/>
      </w:pPr>
      <w:r>
        <w:rPr/>
        <w:t xml:space="preserve">Consolidate attitude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New entrant </w:t>
      </w:r>
    </w:p>
    <w:p>
      <w:pPr>
        <w:pStyle w:val="ListParagraph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On-going – end career</w:t>
      </w:r>
    </w:p>
    <w:p>
      <w:pPr>
        <w:spacing/>
        <w:jc w:val="center"/>
        <w:rPr/>
      </w:pPr>
      <w:r>
        <w:rPr/>
        <w:t xml:space="preserve">MANAGING CHANGE PROCESS – HOLISTIC</w:t>
      </w:r>
    </w:p>
    <w:p>
      <w:pPr>
        <w:spacing/>
        <w:jc w:val="center"/>
        <w:rPr/>
      </w:pPr>
      <w:r>
        <w:rPr/>
        <w:t xml:space="preserve">NAMED AWARD</w:t>
      </w:r>
    </w:p>
    <w:p>
      <w:pPr>
        <w:spacing/>
        <w:jc w:val="center"/>
        <w:rPr/>
      </w:pPr>
    </w:p>
    <w:p>
      <w:pPr>
        <w:spacing/>
        <w:rPr>
          <w:b/>
          <w:i/>
        </w:rPr>
      </w:pPr>
      <w:r>
        <w:rPr>
          <w:b/>
          <w:i/>
        </w:rPr>
        <w:t xml:space="preserve">Group 6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What </w:t>
      </w:r>
      <w:r>
        <w:rPr/>
        <w:t xml:space="preserve">sections do SITE sit at and SFR? How will students and probationers show SFR and SITE</w:t>
      </w:r>
      <w:r>
        <w:rPr/>
        <w:t xml:space="preserve">?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Developing shared understanding of STs between schools, universities of what the measuring points are in relation to students and probationers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Exemplification i.e. straplines same but demonstrating at difference </w:t>
      </w:r>
      <w:r>
        <w:rPr/>
        <w:t xml:space="preserve">level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CLARITY!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Sugg</w:t>
      </w:r>
      <w:r>
        <w:rPr/>
        <w:t xml:space="preserve">estion – GTCS: facilitation joint discussion between universities and schools to achieve shared understanding /developments of what constitutes meeting the standard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Advice for LA</w:t>
      </w:r>
      <w:r>
        <w:rPr/>
        <w:t xml:space="preserve">s to link SFR – St for career long professional learning</w:t>
      </w:r>
      <w:r>
        <w:rPr/>
        <w:t xml:space="preserve"> </w:t>
      </w:r>
      <w:r>
        <w:rPr/>
        <w:t xml:space="preserve">via PRD and location of teachers’ profile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The focus on research, following up positive aspects of research based learning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Access to research i.e. registration of teachers, block access to ATHENS research via GTCS, one location 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Important</w:t>
      </w:r>
      <w:r>
        <w:rPr/>
        <w:t xml:space="preserve"> – mentoring professional journey through the Standards i.e. mentoring currently through SITE to SFR but not beyond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Interviews common approach to students selection for ITE to build on current best practice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Looking at</w:t>
      </w:r>
      <w:r>
        <w:rPr/>
        <w:t xml:space="preserve"> common interviews, set criteria i.e. increase academic profile // social interviews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GTCS examine entry memorandum </w:t>
      </w:r>
      <w:r>
        <w:rPr/>
        <w:t xml:space="preserve">i.e.</w:t>
      </w:r>
      <w:r>
        <w:rPr/>
        <w:t xml:space="preserve"> include values, include capacity to reflect and psychometric test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Advantage of joint evaluation on the Standard for SFR. Joint discussion on where student</w:t>
      </w:r>
      <w:r>
        <w:rPr/>
        <w:t xml:space="preserve">s are on Standard (SITE/</w:t>
      </w:r>
      <w:r>
        <w:rPr/>
        <w:t xml:space="preserve"> SFR) </w:t>
      </w:r>
    </w:p>
    <w:p>
      <w:pPr>
        <w:spacing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PART 2</w:t>
      </w:r>
    </w:p>
    <w:p>
      <w:pPr>
        <w:spacing/>
        <w:rPr>
          <w:rFonts w:eastAsia="MS Mincho"/>
          <w:b/>
          <w:i/>
          <w:lang w:eastAsia="ja-JP"/>
        </w:rPr>
      </w:pPr>
      <w:r>
        <w:rPr>
          <w:rFonts w:eastAsia="MS Mincho"/>
          <w:b/>
          <w:i/>
          <w:lang w:eastAsia="ja-JP"/>
        </w:rPr>
        <w:t xml:space="preserve">How the University Review Process can link with Professional Update Process </w:t>
      </w:r>
      <w:r>
        <w:rPr>
          <w:rFonts w:eastAsia="MS Mincho"/>
          <w:b/>
          <w:i/>
          <w:lang w:eastAsia="ja-JP"/>
        </w:rPr>
        <w:t xml:space="preserve">– suggestions</w:t>
      </w:r>
      <w:r>
        <w:rPr>
          <w:rFonts w:eastAsia="MS Mincho"/>
          <w:b/>
          <w:i/>
          <w:lang w:eastAsia="ja-JP"/>
        </w:rPr>
        <w:t xml:space="preserve"> for ways forward</w:t>
      </w:r>
    </w:p>
    <w:p>
      <w:pPr>
        <w:spacing/>
        <w:rPr>
          <w:b/>
          <w:i/>
        </w:rPr>
      </w:pPr>
      <w:r>
        <w:rPr>
          <w:b/>
          <w:i/>
        </w:rPr>
        <w:t xml:space="preserve">Amalgamated g</w:t>
      </w:r>
      <w:r>
        <w:rPr>
          <w:b/>
          <w:i/>
        </w:rPr>
        <w:t xml:space="preserve">roup</w:t>
      </w:r>
      <w:r>
        <w:rPr>
          <w:b/>
          <w:i/>
        </w:rPr>
        <w:t xml:space="preserve"> responses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Not sure how staff review and development at university could allow demo of Professional update in relation to become different methods, criteria for success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Can one standard be mapped to other?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Evidencing, keeping relevant skills updated e.g. teaching and learning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Could universities and LAs identify which areas of Standards their </w:t>
      </w:r>
      <w:r>
        <w:rPr/>
        <w:t xml:space="preserve">remit allows</w:t>
      </w:r>
      <w:r>
        <w:rPr/>
        <w:t xml:space="preserve"> them to demonstrate?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Which standard or blend of is relevant to university and LA PRD? i.e. process could be the same. Outcome or measurement would be different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All staff in ITE need to be GTCS LA and uni staff need 2 PRD experiences relevant to remit or relevant to teaching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How relevant is registration to the remit roles of uni staff and LA officers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Different focus 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Edinburgh model teach return teacher or in period of induction Voluntary </w:t>
      </w:r>
    </w:p>
    <w:p>
      <w:pPr>
        <w:spacing/>
        <w:rPr>
          <w:b/>
          <w:i/>
        </w:rPr>
      </w:pP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University PRD systems vary so much and are not necessarily compatible with requirements of GTCS registration.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‘Live management’ is not always as clear cut in a university where people work in a number of different teams under different leadership.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Don’t particularly like the idea of active/inactive registration – practising/non-practising... prefer school/non-school based. 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Suggest possibility for tinkering or amendment of the uni Annual review process which directly leads into the GTCS 5 year Professional Update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More radical? GTCS </w:t>
      </w:r>
      <w:r>
        <w:rPr/>
        <w:t xml:space="preserve">Update</w:t>
      </w:r>
      <w:r>
        <w:rPr/>
        <w:t xml:space="preserve"> may </w:t>
      </w:r>
      <w:r>
        <w:rPr/>
        <w:t xml:space="preserve">influence</w:t>
      </w:r>
      <w:r>
        <w:rPr/>
        <w:t xml:space="preserve"> the university annual review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Tensions – conflict from managing the demands of the Professional body versus QA in preparing students as teachers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Requirement for uni Professional Review and Development system to be in place with modification to take account of GTCS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Programmes or staff?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How do internal processes align?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It is good that the value of what you are doing and how you are doing it is recognised.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Corporate or individual validation – submission?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Reviewers GTCS registered?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Link HMIE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Need to understand partners’ roles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PETPs – unknown – quality of documentation</w:t>
      </w:r>
    </w:p>
    <w:p>
      <w:pPr>
        <w:pStyle w:val="ListParagraph"/>
        <w:spacing/>
        <w:ind w:left="1080"/>
        <w:rPr/>
      </w:pPr>
      <w:r>
        <w:rPr/>
        <w:t xml:space="preserve">Workload for PETPs</w:t>
      </w:r>
    </w:p>
    <w:p>
      <w:pPr>
        <w:pStyle w:val="ListParagraph"/>
        <w:spacing/>
        <w:ind w:left="1080"/>
        <w:rPr/>
      </w:pPr>
      <w:r>
        <w:rPr/>
        <w:t xml:space="preserve">Students’ feedback – condensing</w:t>
      </w:r>
    </w:p>
    <w:p>
      <w:pPr>
        <w:pStyle w:val="ListParagraph"/>
        <w:spacing/>
        <w:ind w:left="1080"/>
        <w:rPr/>
      </w:pPr>
      <w:r>
        <w:rPr/>
        <w:t xml:space="preserve">Universities – to what extent do tutors get involved? Needs elsewhere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Uni – links to what students do next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No longer in classroom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‘Professional’ not ‘</w:t>
      </w:r>
      <w:r>
        <w:rPr/>
        <w:t xml:space="preserve"> strengths and </w:t>
      </w:r>
      <w:r>
        <w:rPr/>
        <w:t xml:space="preserve">practice’ update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tension – removed from classroom but supposedly ‘advisor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LA</w:t>
      </w:r>
      <w:r>
        <w:rPr/>
        <w:t xml:space="preserve">s/secondments – back in classroom after 2-3 years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Feeling of being more knowledgeable abo</w:t>
      </w:r>
      <w:r>
        <w:rPr/>
        <w:t xml:space="preserve">ut teaching outside the classroo</w:t>
      </w:r>
      <w:r>
        <w:rPr/>
        <w:t xml:space="preserve">m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Supporters/LA</w:t>
      </w:r>
      <w:r>
        <w:rPr/>
        <w:t xml:space="preserve">s – realistic targets for term 1 /development nee</w:t>
      </w:r>
      <w:r>
        <w:rPr/>
        <w:t xml:space="preserve">d</w:t>
      </w:r>
      <w:r>
        <w:rPr/>
        <w:t xml:space="preserve">s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Learning </w:t>
      </w:r>
      <w:r>
        <w:rPr/>
        <w:t xml:space="preserve">with and from each other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QA mechanisms – external examiners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Variation for te</w:t>
      </w:r>
      <w:r>
        <w:rPr/>
        <w:t xml:space="preserve">a</w:t>
      </w:r>
      <w:r>
        <w:rPr/>
        <w:t xml:space="preserve">cher educators</w:t>
      </w:r>
      <w:r>
        <w:rPr/>
        <w:t xml:space="preserve">. </w:t>
      </w:r>
    </w:p>
    <w:p>
      <w:pPr>
        <w:pStyle w:val="ListParagraph"/>
        <w:numPr>
          <w:ilvl w:val="0"/>
          <w:numId w:val="4"/>
        </w:numPr>
        <w:spacing/>
        <w:rPr/>
      </w:pPr>
      <w:r>
        <w:rPr/>
        <w:t xml:space="preserve">Something in Standards that wouldn’t be relevant and some things we do in ITE/Las that wouldn’t be reflected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PETP – feeling that perhaps the strengths and </w:t>
      </w:r>
      <w:r>
        <w:rPr/>
        <w:t xml:space="preserve">development</w:t>
      </w:r>
      <w:r>
        <w:rPr/>
        <w:t xml:space="preserve"> needs could be more focussed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Provides a focus and first point of self-evaluation process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Issues of timing – students don’t always have enough knowledge of stages they are entering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Continued building of uni processes and impact in LA. Possible links between probation year and ITE</w:t>
      </w:r>
    </w:p>
    <w:p>
      <w:pPr>
        <w:spacing/>
        <w:rPr/>
      </w:pPr>
      <w:r>
        <w:rPr/>
        <w:t xml:space="preserve">University procedures for: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Appraisal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Tension re University ‘employer’ requirements, LA credibility diminishes for re-entering schools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Credibility – do all colleagues in education (teachers/</w:t>
      </w:r>
      <w:r>
        <w:rPr/>
        <w:t xml:space="preserve">units</w:t>
      </w:r>
      <w:r>
        <w:rPr/>
        <w:t xml:space="preserve">/LAs) value the roles, knowledge and expertise of these roles?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Issue of HE staff with a teaching commitment who are not trained/qualified teachers.</w:t>
      </w:r>
    </w:p>
    <w:p>
      <w:pPr>
        <w:pStyle w:val="ListParagraph"/>
        <w:spacing/>
        <w:rPr/>
      </w:pPr>
    </w:p>
    <w:p>
      <w:pPr>
        <w:pStyle w:val="ListParagraph"/>
        <w:spacing/>
        <w:rPr/>
      </w:pPr>
    </w:p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AFF" w:usb1="C0007841" w:usb2="00000009" w:usb3="00000000" w:csb0="000001FF" w:csb1="00000000"/>
  </w:font>
  <w:font w:name="Arial">
    <w:charset w:val="0"/>
    <w:family w:val="swiss"/>
    <w:pitch w:val="variable"/>
    <w:sig w:usb0="E0002AFF" w:usb1="C0007843" w:usb2="00000009" w:usb3="00000000" w:csb0="000001FF" w:csb1="00000000"/>
  </w:font>
  <w:font w:name="Calibri">
    <w:charset w:val="0"/>
    <w:family w:val="swiss"/>
    <w:pitch w:val="variable"/>
    <w:sig w:usb0="E10002FF" w:usb1="4000ACFF" w:usb2="00000009" w:usb3="00000000" w:csb0="0000019F" w:csb1="00000000"/>
  </w:font>
  <w:font w:name="Courier New">
    <w:charset w:val="0"/>
    <w:family w:val="modern"/>
    <w:pitch w:val="fixed"/>
    <w:sig w:usb0="E0002A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charset w:val="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Aria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4"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Aria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5"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2"/>
  </w:compat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4"/>
        <w:szCs w:val="24"/>
        <w:lang w:val="en-GB" w:eastAsia="ar-SA"/>
      </w:rPr>
    </w:rPrDefault>
    <w:pPrDefault>
      <w:pPr>
        <w:spacing w:after="200"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/>
    </w:pPr>
    <w:rPr/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paragraph" w:styleId="ListParagraph" w:customStyle="1">
    <w:name w:val="List Paragraph"/>
    <w:basedOn w:val="Normal"/>
    <w:next w:val="ListParagraph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112</TotalTime>
  <Pages>5</Pages>
  <Words>1339</Words>
  <Characters>7635</Characters>
  <Application>Microsoft Office Word</Application>
  <DocSecurity>0</DocSecurity>
  <Lines>63</Lines>
  <Paragraphs>17</Paragraphs>
  <Company/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and Maintaining the Effectiveness of Teachers in Scotland Groups</dc:title>
  <dc:creator>Mr Services User</dc:creator>
  <cp:lastModifiedBy>AJackson</cp:lastModifiedBy>
  <cp:revision>2</cp:revision>
  <dcterms:created xsi:type="dcterms:W3CDTF">2012-06-19T16:00:00Z</dcterms:created>
  <dcterms:modified xsi:type="dcterms:W3CDTF">2012-06-27T11:58:26.013Z</dcterms:modified>
</cp:coreProperties>
</file>