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spacing w:after="0" w:line="240" w:lineRule="auto"/>
        <w:rPr>
          <w:b/>
          <w:sz w:val="24"/>
          <w:szCs w:val="24"/>
        </w:rPr>
      </w:pPr>
      <w:r>
        <w:rPr>
          <w:b/>
          <w:sz w:val="24"/>
          <w:szCs w:val="24"/>
        </w:rPr>
        <w:t xml:space="preserve">Delegate respo</w:t>
      </w:r>
      <w:bookmarkStart w:id="2" w:name="_GoBack"/>
      <w:bookmarkEnd w:id="2"/>
      <w:r>
        <w:rPr>
          <w:b/>
          <w:sz w:val="24"/>
          <w:szCs w:val="24"/>
        </w:rPr>
        <w:t xml:space="preserve">nse to keynotes – Debate 3</w:t>
      </w:r>
    </w:p>
    <w:p>
      <w:pPr>
        <w:spacing w:after="0" w:line="240" w:lineRule="auto"/>
        <w:rPr>
          <w:b/>
          <w:sz w:val="24"/>
          <w:szCs w:val="24"/>
        </w:rPr>
      </w:pPr>
    </w:p>
    <w:p>
      <w:pPr>
        <w:spacing w:after="0" w:line="240" w:lineRule="auto"/>
        <w:rPr>
          <w:b/>
          <w:sz w:val="24"/>
          <w:szCs w:val="24"/>
        </w:rPr>
      </w:pPr>
      <w:r>
        <w:rPr>
          <w:b/>
          <w:sz w:val="24"/>
          <w:szCs w:val="24"/>
        </w:rPr>
        <w:t xml:space="preserve">Stephen Cox</w:t>
      </w:r>
    </w:p>
    <w:p>
      <w:pPr>
        <w:spacing w:after="0" w:line="240" w:lineRule="auto"/>
        <w:rPr>
          <w:sz w:val="24"/>
          <w:szCs w:val="24"/>
        </w:rPr>
      </w:pPr>
      <w:r>
        <w:rPr>
          <w:sz w:val="24"/>
          <w:szCs w:val="24"/>
        </w:rPr>
        <w:t xml:space="preserve">Delegates recognised that schoolteachers should be the focus as they are the deliverers and there is evidently a need to develop teachers’ skills in teaching for understanding as well as knowledge. The need to develop autonomy and independence was welcomed. It was felt generally that there is a lack of quantitative research on student, teacher and pupil outcome.</w:t>
      </w:r>
    </w:p>
    <w:p>
      <w:pPr>
        <w:spacing w:after="0" w:line="240" w:lineRule="auto"/>
        <w:rPr>
          <w:sz w:val="24"/>
          <w:szCs w:val="24"/>
        </w:rPr>
      </w:pPr>
    </w:p>
    <w:p>
      <w:pPr>
        <w:spacing w:after="0" w:line="240" w:lineRule="auto"/>
        <w:rPr>
          <w:b/>
          <w:i/>
          <w:sz w:val="24"/>
          <w:szCs w:val="24"/>
        </w:rPr>
      </w:pPr>
      <w:r>
        <w:rPr>
          <w:b/>
          <w:i/>
          <w:sz w:val="24"/>
          <w:szCs w:val="24"/>
        </w:rPr>
        <w:t xml:space="preserve">Questions and concerns</w:t>
      </w:r>
    </w:p>
    <w:p>
      <w:pPr>
        <w:spacing w:after="0" w:line="240" w:lineRule="auto"/>
        <w:rPr>
          <w:sz w:val="24"/>
          <w:szCs w:val="24"/>
        </w:rPr>
      </w:pPr>
      <w:r>
        <w:rPr>
          <w:sz w:val="24"/>
          <w:szCs w:val="24"/>
        </w:rPr>
        <w:t xml:space="preserve">Delegates asked how the training concept as described by Osiris would be more of a ‘teacher as enquirer’ model and wondered how the ‘difficult’ and ‘probing’ questions are asked within the process. </w:t>
      </w:r>
    </w:p>
    <w:p>
      <w:pPr>
        <w:spacing w:after="0" w:line="240" w:lineRule="auto"/>
        <w:rPr>
          <w:sz w:val="24"/>
          <w:szCs w:val="24"/>
        </w:rPr>
      </w:pPr>
      <w:r>
        <w:rPr>
          <w:sz w:val="24"/>
          <w:szCs w:val="24"/>
        </w:rPr>
        <w:t xml:space="preserve"> </w:t>
      </w:r>
    </w:p>
    <w:p>
      <w:pPr>
        <w:spacing w:after="0" w:line="240" w:lineRule="auto"/>
        <w:rPr>
          <w:sz w:val="24"/>
          <w:szCs w:val="24"/>
        </w:rPr>
      </w:pPr>
      <w:r>
        <w:rPr>
          <w:sz w:val="24"/>
          <w:szCs w:val="24"/>
        </w:rPr>
        <w:t xml:space="preserve">It was felt that there were unresolved issues of Quality Assurance, costs and responsibility.</w:t>
      </w:r>
    </w:p>
    <w:p>
      <w:pPr>
        <w:spacing w:after="0" w:line="240" w:lineRule="auto"/>
        <w:rPr>
          <w:b/>
          <w:i/>
          <w:sz w:val="24"/>
          <w:szCs w:val="24"/>
        </w:rPr>
      </w:pPr>
    </w:p>
    <w:p>
      <w:pPr>
        <w:spacing w:after="0" w:line="240" w:lineRule="auto"/>
        <w:rPr>
          <w:sz w:val="24"/>
          <w:szCs w:val="24"/>
        </w:rPr>
      </w:pPr>
      <w:r>
        <w:rPr>
          <w:sz w:val="24"/>
          <w:szCs w:val="24"/>
        </w:rPr>
        <w:t xml:space="preserve">The potential drawback is that student teachers become ‘schooled’ and only see one context. This needs careful management across the partnership between schools.</w:t>
      </w:r>
    </w:p>
    <w:p>
      <w:pPr>
        <w:spacing w:after="0" w:line="240" w:lineRule="auto"/>
        <w:rPr>
          <w:sz w:val="24"/>
          <w:szCs w:val="24"/>
        </w:rPr>
      </w:pPr>
      <w:r>
        <w:rPr>
          <w:sz w:val="24"/>
          <w:szCs w:val="24"/>
        </w:rPr>
        <w:t xml:space="preserve">Students’ experience in the school needs careful management which is appropriate for adult learners. The School Direct model means students are ‘theirs’ which makes for interesting issues for professionalism when reflecting or analysing practice.</w:t>
      </w:r>
    </w:p>
    <w:p>
      <w:pPr>
        <w:spacing w:after="0" w:line="240" w:lineRule="auto"/>
        <w:rPr>
          <w:sz w:val="24"/>
          <w:szCs w:val="24"/>
        </w:rPr>
      </w:pPr>
    </w:p>
    <w:p>
      <w:pPr>
        <w:spacing w:after="0" w:line="240" w:lineRule="auto"/>
        <w:rPr>
          <w:sz w:val="24"/>
          <w:szCs w:val="24"/>
        </w:rPr>
      </w:pPr>
    </w:p>
    <w:p>
      <w:pPr>
        <w:spacing/>
        <w:rPr/>
      </w:pPr>
    </w:p>
    <w:sectPr>
      <w:type w:val="nextPage"/>
      <w:pgSz w:w="11906" w:h="16838"/>
      <w:pgMar w:top="1440" w:right="1440" w:bottom="1440" w:left="1440"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
    <w:family w:val="swiss"/>
    <w:pitch w:val="variable"/>
    <w:sig w:usb0="E10002FF" w:usb1="4000ACFF" w:usb2="00000009" w:usb3="00000000" w:csb0="0000019F" w:csb1="00000000"/>
  </w:font>
  <w:font w:name="Times New Roman">
    <w:charset w:val="0"/>
    <w:family w:val="roman"/>
    <w:pitch w:val="variable"/>
    <w:sig w:usb0="E0002AFF" w:usb1="C0007841" w:usb2="00000009" w:usb3="00000000" w:csb0="000001FF" w:csb1="00000000"/>
  </w:font>
  <w:font w:name="Arial">
    <w:charset w:val="0"/>
    <w:family w:val="swiss"/>
    <w:pitch w:val="variable"/>
    <w:sig w:usb0="E0002AFF" w:usb1="C0007843" w:usb2="00000009" w:usb3="00000000" w:csb0="000001FF" w:csb1="00000000"/>
  </w:font>
  <w:font w:name="Cambria">
    <w:charset w:val="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spelling="clean" w:grammar="clean"/>
  <w:defaultTabStop w:val="720"/>
  <w:characterSpacingControl xmlns:w="http://schemas.openxmlformats.org/wordprocessingml/2006/main"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 w:uri="http://schemas.microsoft.com/office/word" w:val="1"/>
  </w:compat>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en-GB" w:eastAsia="ar-SA"/>
      </w:rPr>
    </w:rPrDefault>
    <w:pPrDefault>
      <w:pPr>
        <w:spacing w:after="200" w:line="276" w:lineRule="auto"/>
      </w:pPr>
    </w:pPrDefault>
  </w:docDefaults>
  <w:latentStyles xmlns:w="http://schemas.openxmlformats.org/wordprocessingml/2006/main"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rFonts w:ascii="Arial" w:hAnsi="Arial" w:eastAsia="Calibri" w:cs="Times New Roman"/>
      <w:sz w:val="20"/>
      <w:szCs w:val="20"/>
      <w:lang w:eastAsia="en-GB"/>
    </w:rPr>
  </w:style>
  <w:style w:type="character" w:styleId="DefaultParagraphFont" w:default="1">
    <w:name w:val="Default Paragraph Font"/>
    <w:semiHidden/>
    <w:unhideWhenUsed/>
    <w:rPr/>
  </w:style>
  <w:style w:type="table" w:styleId="TableNormal" w:default="1">
    <w:name w:val="Normal Table"/>
    <w:semiHidden/>
    <w:unhideWhenUsed/>
    <w:tblPr>
      <w:tblInd w:w="0" w:type="dxa"/>
      <w:tblCellMar>
        <w:top w:w="0" w:type="dxa"/>
        <w:left w:w="108" w:type="dxa"/>
        <w:bottom w:w="0" w:type="dxa"/>
        <w:right w:w="108" w:type="dxa"/>
      </w:tblCellMar>
    </w:tblPr>
  </w:style>
  <w:style w:type="character" w:styleId="NoList">
    <w:name w:val="No List"/>
    <w:semiHidden/>
    <w:unhideWhenUsed/>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Template>Normal</Template>
  <TotalTime>1</TotalTime>
  <Pages>1</Pages>
  <Words>171</Words>
  <Characters>980</Characters>
  <Application>Microsoft Office Word</Application>
  <DocSecurity>0</DocSecurity>
  <Lines>8</Lines>
  <Paragraphs>2</Paragraphs>
  <Company>University Of Cumbria</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DelegateResponseToKeynoteDebate3</dc:title>
  <dc:creator>Mr Services User</dc:creator>
  <cp:lastModifiedBy>robert.donnelly</cp:lastModifiedBy>
  <cp:revision>2</cp:revision>
  <dcterms:created xsi:type="dcterms:W3CDTF">2012-12-03T11:18:00Z</dcterms:created>
  <dcterms:modified xsi:type="dcterms:W3CDTF">2012-12-03T11:25:48.243Z</dcterms:modified>
</cp:coreProperties>
</file>