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xmlns:w="http://schemas.openxmlformats.org/wordprocessingml/2006/main" mc:Ignorable="w14 w15 wp14">
  <w:body>
    <w:p>
      <w:pPr>
        <w:spacing w:line="276" w:lineRule="auto"/>
        <w:rPr>
          <w:rFonts w:ascii="Comic Sans MS" w:hAnsi="Comic Sans MS" w:eastAsia="Comic Sans MS" w:cs="Comic Sans MS"/>
          <w:b/>
        </w:rPr>
      </w:pPr>
    </w:p>
    <w:p>
      <w:pPr>
        <w:spacing w:line="276" w:lineRule="auto"/>
        <w:rPr>
          <w:rFonts w:ascii="Comic Sans MS" w:hAnsi="Comic Sans MS" w:eastAsia="Comic Sans MS" w:cs="Comic Sans MS"/>
          <w:b/>
        </w:rPr>
      </w:pPr>
      <w:r>
        <w:rPr>
          <w:rFonts w:ascii="Comic Sans MS" w:hAnsi="Comic Sans MS" w:eastAsia="Comic Sans MS" w:cs="Comic Sans MS"/>
          <w:b/>
        </w:rPr>
        <w:t xml:space="preserve">Group feedback </w:t>
      </w:r>
    </w:p>
    <w:p>
      <w:pPr>
        <w:spacing w:line="276" w:lineRule="auto"/>
        <w:rPr>
          <w:rFonts w:ascii="Comic Sans MS" w:hAnsi="Comic Sans MS" w:eastAsia="Comic Sans MS" w:cs="Comic Sans MS"/>
          <w:b/>
        </w:rPr>
      </w:pPr>
      <w:r>
        <w:rPr>
          <w:rFonts w:ascii="Comic Sans MS" w:hAnsi="Comic Sans MS" w:eastAsia="Comic Sans MS" w:cs="Comic Sans MS"/>
          <w:b/>
        </w:rPr>
        <w:t xml:space="preserve">1. </w:t>
      </w:r>
      <w:r>
        <w:rPr>
          <w:rFonts w:ascii="Comic Sans MS" w:hAnsi="Comic Sans MS" w:eastAsia="Comic Sans MS" w:cs="Comic Sans MS"/>
          <w:b/>
        </w:rPr>
        <w:t xml:space="preserve">What issues are there regarding connectivity?</w:t>
      </w:r>
    </w:p>
    <w:p>
      <w:pPr>
        <w:numPr>
          <w:ilvl w:val="0"/>
          <w:numId w:val="3"/>
        </w:numPr>
        <w:spacing w:line="276" w:lineRule="auto"/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Adult ITE connectivity: QTS – QTLLS (Qualified teacher in learning for life sector – essential skills (adult literacy and numeracy)</w:t>
      </w:r>
    </w:p>
    <w:p>
      <w:pPr>
        <w:numPr>
          <w:ilvl w:val="0"/>
          <w:numId w:val="3"/>
        </w:numPr>
        <w:spacing w:line="276" w:lineRule="auto"/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Bed – alternative versions of SBE (School-based experience)/WBS (Work-based experience) being explored.</w:t>
      </w:r>
    </w:p>
    <w:p>
      <w:pPr>
        <w:numPr>
          <w:ilvl w:val="0"/>
          <w:numId w:val="3"/>
        </w:numPr>
        <w:spacing w:line="276" w:lineRule="auto"/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Induction (20% permanent NTQs (beginning teachers)) – EPD – CPD – pastoral role, delivery of CPD role diminished due, in part, to awaiting ESA (Education and Skills Authority) coming on line. </w:t>
      </w:r>
    </w:p>
    <w:p>
      <w:pPr>
        <w:spacing w:line="276" w:lineRule="auto"/>
        <w:rPr>
          <w:rFonts w:ascii="Comic Sans MS" w:hAnsi="Comic Sans MS" w:eastAsia="Comic Sans MS" w:cs="Comic Sans MS"/>
          <w:b/>
        </w:rPr>
      </w:pPr>
      <w:r>
        <w:rPr>
          <w:noProof/>
        </w:rPr>
        <w:pict>
          <v:shape type="#_x0000_t75" style="position:absolute;margin-left:-18pt;margin-top:24.1pt;width:468pt;height:377pt;z-index:-251657216;visibility:visible">
            <v:imagedata r:id="rId1" o:title=""/>
            <w10:wrap type="tight"/>
          </v:shape>
        </w:pict>
      </w:r>
      <w:r>
        <w:rPr>
          <w:rFonts w:ascii="Comic Sans MS" w:hAnsi="Comic Sans MS" w:eastAsia="Comic Sans MS" w:cs="Comic Sans MS"/>
          <w:b/>
        </w:rPr>
        <w:t xml:space="preserve">Professional efficacy</w:t>
      </w:r>
    </w:p>
    <w:p>
      <w:pPr>
        <w:spacing w:line="276" w:lineRule="auto"/>
        <w:rPr>
          <w:rFonts w:ascii="Comic Sans MS" w:hAnsi="Comic Sans MS" w:eastAsia="Comic Sans MS" w:cs="Comic Sans MS"/>
          <w:b/>
        </w:rPr>
      </w:pPr>
    </w:p>
    <w:p>
      <w:pPr>
        <w:spacing w:line="276" w:lineRule="auto"/>
        <w:rPr>
          <w:rFonts w:ascii="Comic Sans MS" w:hAnsi="Comic Sans MS" w:eastAsia="Comic Sans MS" w:cs="Comic Sans MS"/>
          <w:b/>
        </w:rPr>
      </w:pPr>
      <w:r>
        <w:rPr>
          <w:rFonts w:ascii="Comic Sans MS" w:hAnsi="Comic Sans MS" w:eastAsia="Comic Sans MS" w:cs="Comic Sans MS"/>
          <w:b/>
        </w:rPr>
        <w:t xml:space="preserve">2. </w:t>
      </w:r>
      <w:r>
        <w:rPr>
          <w:rFonts w:ascii="Comic Sans MS" w:hAnsi="Comic Sans MS" w:eastAsia="Comic Sans MS" w:cs="Comic Sans MS"/>
          <w:b/>
        </w:rPr>
        <w:t xml:space="preserve">What issues are there regarding connectivity?</w:t>
      </w:r>
    </w:p>
    <w:p>
      <w:pPr>
        <w:spacing w:line="276" w:lineRule="auto"/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1. Given plethora of value enhancing innovations and connections spearheaded from local actions, how much central control and in what areas is desirable/necessary?</w:t>
      </w:r>
    </w:p>
    <w:p>
      <w:pPr>
        <w:spacing w:line="276" w:lineRule="auto"/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2. Is there a downside to focusing too much, even exclusively on ITE? Given changes in pedagogy, assessment, nature of schools as institutions perhaps timely to rethink ITE in context of Teacher Education journeys.</w:t>
      </w:r>
    </w:p>
    <w:p>
      <w:pPr>
        <w:spacing w:line="276" w:lineRule="auto"/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3. In the absence of a single cohering/strategic reference point all institutions/organizations have developed a complex web of connections. Downside of which can be duplication, replication, under optimization of synergies. Single dohering reference point require – but what, who?</w:t>
      </w:r>
    </w:p>
    <w:p>
      <w:pPr>
        <w:spacing w:line="276" w:lineRule="auto"/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4. Exodus of student teachers to England etc. undermines Teacher Education role/community in </w:t>
      </w:r>
      <w:r>
        <w:rPr>
          <w:rFonts w:ascii="Comic Sans MS" w:hAnsi="Comic Sans MS" w:eastAsia="Comic Sans MS" w:cs="Comic Sans MS"/>
        </w:rPr>
        <w:t xml:space="preserve">Northern Ireland</w:t>
      </w:r>
      <w:r>
        <w:rPr>
          <w:rFonts w:ascii="Comic Sans MS" w:hAnsi="Comic Sans MS" w:eastAsia="Comic Sans MS" w:cs="Comic Sans MS"/>
        </w:rPr>
        <w:t xml:space="preserve">. Are we offering a sufficiently compelling case for a Teacher Education strategy from ITE stage linked to our schooling system’s unique challenges?</w:t>
      </w:r>
    </w:p>
    <w:p>
      <w:pPr>
        <w:spacing w:line="276" w:lineRule="auto"/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5. In the context of Workforce Development, of which Teacher Education is only part, what would a Teacher Education framework look like? Are we close?</w:t>
      </w:r>
    </w:p>
    <w:p>
      <w:pPr>
        <w:spacing w:line="276" w:lineRule="auto"/>
        <w:rPr>
          <w:rFonts w:ascii="Comic Sans MS" w:hAnsi="Comic Sans MS" w:eastAsia="Comic Sans MS" w:cs="Comic Sans MS"/>
          <w:b/>
          <w:sz w:val="24"/>
          <w:szCs w:val="24"/>
        </w:rPr>
      </w:pPr>
    </w:p>
    <w:p>
      <w:pPr>
        <w:spacing w:line="276" w:lineRule="auto"/>
        <w:rPr>
          <w:rFonts w:ascii="Comic Sans MS" w:hAnsi="Comic Sans MS" w:eastAsia="Comic Sans MS" w:cs="Comic Sans MS"/>
          <w:b/>
          <w:sz w:val="24"/>
          <w:szCs w:val="24"/>
        </w:rPr>
      </w:pPr>
    </w:p>
    <w:p>
      <w:pPr>
        <w:spacing w:line="276" w:lineRule="auto"/>
        <w:rPr>
          <w:rFonts w:ascii="Comic Sans MS" w:hAnsi="Comic Sans MS" w:eastAsia="Comic Sans MS" w:cs="Comic Sans MS"/>
          <w:b/>
          <w:sz w:val="24"/>
          <w:szCs w:val="24"/>
        </w:rPr>
      </w:pPr>
    </w:p>
    <w:p>
      <w:pPr>
        <w:spacing w:line="276" w:lineRule="auto"/>
        <w:rPr>
          <w:rFonts w:ascii="Comic Sans MS" w:hAnsi="Comic Sans MS" w:eastAsia="Comic Sans MS" w:cs="Comic Sans MS"/>
          <w:b/>
          <w:sz w:val="24"/>
          <w:szCs w:val="24"/>
        </w:rPr>
      </w:pPr>
    </w:p>
    <w:p>
      <w:pPr>
        <w:spacing w:line="276" w:lineRule="auto"/>
        <w:rPr>
          <w:rFonts w:ascii="Comic Sans MS" w:hAnsi="Comic Sans MS" w:eastAsia="Comic Sans MS" w:cs="Comic Sans MS"/>
          <w:b/>
          <w:sz w:val="24"/>
          <w:szCs w:val="24"/>
        </w:rPr>
      </w:pPr>
    </w:p>
    <w:p>
      <w:pPr>
        <w:spacing w:line="276" w:lineRule="auto"/>
        <w:rPr>
          <w:rFonts w:ascii="Comic Sans MS" w:hAnsi="Comic Sans MS" w:eastAsia="Comic Sans MS" w:cs="Comic Sans MS"/>
          <w:b/>
          <w:sz w:val="24"/>
          <w:szCs w:val="24"/>
        </w:rPr>
      </w:pPr>
    </w:p>
    <w:p>
      <w:pPr>
        <w:spacing w:line="276" w:lineRule="auto"/>
        <w:rPr>
          <w:rFonts w:ascii="Comic Sans MS" w:hAnsi="Comic Sans MS" w:eastAsia="Comic Sans MS" w:cs="Comic Sans MS"/>
          <w:b/>
          <w:sz w:val="24"/>
          <w:szCs w:val="24"/>
        </w:rPr>
      </w:pPr>
    </w:p>
    <w:p>
      <w:pPr>
        <w:spacing w:line="276" w:lineRule="auto"/>
        <w:rPr>
          <w:rFonts w:ascii="Comic Sans MS" w:hAnsi="Comic Sans MS" w:eastAsia="Comic Sans MS" w:cs="Comic Sans MS"/>
          <w:b/>
          <w:sz w:val="24"/>
          <w:szCs w:val="24"/>
        </w:rPr>
      </w:pPr>
    </w:p>
    <w:p>
      <w:pPr>
        <w:spacing w:line="276" w:lineRule="auto"/>
        <w:rPr>
          <w:rFonts w:ascii="Comic Sans MS" w:hAnsi="Comic Sans MS" w:eastAsia="Comic Sans MS" w:cs="Comic Sans MS"/>
          <w:b/>
          <w:sz w:val="24"/>
          <w:szCs w:val="24"/>
        </w:rPr>
      </w:pPr>
    </w:p>
    <w:p>
      <w:pPr>
        <w:spacing w:line="276" w:lineRule="auto"/>
        <w:rPr>
          <w:rFonts w:ascii="Comic Sans MS" w:hAnsi="Comic Sans MS" w:eastAsia="Comic Sans MS" w:cs="Comic Sans MS"/>
          <w:b/>
          <w:sz w:val="24"/>
          <w:szCs w:val="24"/>
        </w:rPr>
      </w:pPr>
    </w:p>
    <w:p>
      <w:p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b/>
          <w:sz w:val="24"/>
          <w:szCs w:val="24"/>
        </w:rPr>
        <w:t xml:space="preserve">Group 3</w:t>
      </w:r>
      <w:r>
        <w:rPr>
          <w:rFonts w:ascii="Comic Sans MS" w:hAnsi="Comic Sans MS" w:eastAsia="Comic Sans MS" w:cs="Comic Sans MS"/>
          <w:sz w:val="24"/>
          <w:szCs w:val="24"/>
        </w:rPr>
        <w:tab/>
        <w:t xml:space="preserve"/>
      </w:r>
      <w:r>
        <w:rPr>
          <w:rFonts w:ascii="Comic Sans MS" w:hAnsi="Comic Sans MS" w:eastAsia="Comic Sans MS" w:cs="Comic Sans MS"/>
          <w:sz w:val="24"/>
          <w:szCs w:val="24"/>
        </w:rPr>
        <w:t xml:space="preserve">John Ferguson, Peter Finn, Roisin Mc Philemy, Audrey Curry</w:t>
      </w:r>
      <w:r>
        <w:rPr>
          <w:rFonts w:ascii="Comic Sans MS" w:hAnsi="Comic Sans MS" w:eastAsia="Comic Sans MS" w:cs="Comic Sans MS"/>
          <w:sz w:val="24"/>
          <w:szCs w:val="24"/>
        </w:rPr>
        <w:t xml:space="preserve">.</w:t>
      </w:r>
    </w:p>
    <w:p>
      <w:p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b/>
          <w:sz w:val="24"/>
          <w:szCs w:val="24"/>
        </w:rPr>
        <w:t xml:space="preserve">Responses</w:t>
      </w:r>
      <w:r>
        <w:rPr>
          <w:rFonts w:ascii="Comic Sans MS" w:hAnsi="Comic Sans MS" w:eastAsia="Comic Sans MS" w:cs="Comic Sans MS"/>
          <w:sz w:val="24"/>
          <w:szCs w:val="24"/>
        </w:rPr>
        <w:t xml:space="preserve"> </w:t>
      </w:r>
      <w:r>
        <w:rPr>
          <w:rFonts w:ascii="Comic Sans MS" w:hAnsi="Comic Sans MS" w:eastAsia="Comic Sans MS" w:cs="Comic Sans MS"/>
          <w:sz w:val="24"/>
          <w:szCs w:val="24"/>
        </w:rPr>
        <w:tab/>
        <w:t xml:space="preserve"/>
      </w:r>
      <w:r>
        <w:rPr>
          <w:rFonts w:ascii="Comic Sans MS" w:hAnsi="Comic Sans MS" w:eastAsia="Comic Sans MS" w:cs="Comic Sans MS"/>
          <w:sz w:val="24"/>
          <w:szCs w:val="24"/>
        </w:rPr>
        <w:t xml:space="preserve">from Session 1 and Session 2.</w:t>
      </w:r>
    </w:p>
    <w:p>
      <w:pPr>
        <w:spacing w:line="276" w:lineRule="auto"/>
        <w:rPr>
          <w:rFonts w:ascii="Comic Sans MS" w:hAnsi="Comic Sans MS" w:eastAsia="Comic Sans MS" w:cs="Comic Sans MS"/>
          <w:b/>
          <w:sz w:val="24"/>
          <w:szCs w:val="24"/>
        </w:rPr>
      </w:pPr>
      <w:r>
        <w:rPr>
          <w:rFonts w:ascii="Comic Sans MS" w:hAnsi="Comic Sans MS" w:eastAsia="Comic Sans MS" w:cs="Comic Sans MS"/>
          <w:b/>
          <w:sz w:val="24"/>
          <w:szCs w:val="24"/>
        </w:rPr>
        <w:t xml:space="preserve">Issues regarding connectivity between ‘phases’</w:t>
      </w:r>
    </w:p>
    <w:p>
      <w:pPr>
        <w:spacing w:line="276" w:lineRule="auto"/>
        <w:rPr>
          <w:rFonts w:ascii="Comic Sans MS" w:hAnsi="Comic Sans MS" w:eastAsia="Comic Sans MS" w:cs="Comic Sans MS"/>
          <w:b/>
          <w:sz w:val="24"/>
          <w:szCs w:val="24"/>
        </w:rPr>
      </w:pPr>
      <w:r>
        <w:rPr>
          <w:rFonts w:ascii="Comic Sans MS" w:hAnsi="Comic Sans MS" w:eastAsia="Comic Sans MS" w:cs="Comic Sans MS"/>
          <w:b/>
          <w:sz w:val="24"/>
          <w:szCs w:val="24"/>
        </w:rPr>
        <w:t xml:space="preserve">Phases defined</w:t>
      </w:r>
    </w:p>
    <w:p>
      <w:p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noProof/>
          <w:lang w:val="en-GB"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type="#_x0000_t67" style="position:absolute;margin-left:63pt;margin-top:36.1pt;width:20.25pt;height:37.9pt;z-index:251656192;;v-text-anchor:top;mso-wrap-distance-left:0pt;mso-wrap-distance-top:0pt;mso-wrap-distance-right:0pt;mso-wrap-distance-bottom:0pt;;position:absolute" filled="t" strokecolor="#000000" strokeweight="0.75pt">
            <v:stroke dashstyle="solid" linestyle="single" joinstyle="miter" endcap="flat" opacity="65536f"/>
            <v:fill opacity="65536f"/>
            <v:textbox style="">
              <w:txbxContent/>
            </v:textbox>
          </v:shape>
        </w:pict>
      </w:r>
      <w:r>
        <w:rPr>
          <w:rFonts w:ascii="Comic Sans MS" w:hAnsi="Comic Sans MS" w:eastAsia="Comic Sans MS" w:cs="Comic Sans MS"/>
          <w:b/>
          <w:sz w:val="24"/>
          <w:szCs w:val="24"/>
        </w:rPr>
        <w:t xml:space="preserve">Initial Teacher Education</w:t>
      </w:r>
      <w:r>
        <w:rPr>
          <w:rFonts w:ascii="Comic Sans MS" w:hAnsi="Comic Sans MS" w:eastAsia="Comic Sans MS" w:cs="Comic Sans MS"/>
          <w:sz w:val="24"/>
          <w:szCs w:val="24"/>
        </w:rPr>
        <w:t xml:space="preserve"> [BEd PGCE] Higher Education Institutions [HEIs] in the lead supported by Curriculum Advice and Support Service [CASS] and Schools.</w:t>
      </w:r>
    </w:p>
    <w:p>
      <w:p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</w:p>
    <w:p>
      <w:p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noProof/>
          <w:lang w:val="en-GB"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type="#_x0000_t67" style="position:absolute;margin-left:63pt;margin-top:39.4pt;width:20.25pt;height:37.9pt;z-index:251657216;;v-text-anchor:top;mso-wrap-distance-left:0pt;mso-wrap-distance-top:0pt;mso-wrap-distance-right:0pt;mso-wrap-distance-bottom:0pt;;position:absolute" filled="t" strokecolor="#000000" strokeweight="0.75pt">
            <v:stroke dashstyle="solid" linestyle="single" joinstyle="miter" endcap="flat" opacity="65536f"/>
            <v:fill opacity="65536f"/>
            <v:textbox style="">
              <w:txbxContent/>
            </v:textbox>
          </v:shape>
        </w:pict>
      </w:r>
      <w:r>
        <w:rPr>
          <w:rFonts w:ascii="Comic Sans MS" w:hAnsi="Comic Sans MS" w:eastAsia="Comic Sans MS" w:cs="Comic Sans MS"/>
          <w:b/>
          <w:sz w:val="24"/>
          <w:szCs w:val="24"/>
        </w:rPr>
        <w:t xml:space="preserve">Induction</w:t>
      </w:r>
      <w:r>
        <w:rPr>
          <w:rFonts w:ascii="Comic Sans MS" w:hAnsi="Comic Sans MS" w:eastAsia="Comic Sans MS" w:cs="Comic Sans MS"/>
          <w:sz w:val="24"/>
          <w:szCs w:val="24"/>
        </w:rPr>
        <w:t xml:space="preserve"> for Beginning Teachers [Year 1] CASS in the lead supported by HEI’s and Schools.</w:t>
      </w:r>
    </w:p>
    <w:p>
      <w:pPr>
        <w:spacing w:line="276" w:lineRule="auto"/>
        <w:rPr>
          <w:rFonts w:ascii="Comic Sans MS" w:hAnsi="Comic Sans MS" w:eastAsia="Comic Sans MS" w:cs="Comic Sans MS"/>
          <w:b/>
          <w:sz w:val="24"/>
          <w:szCs w:val="24"/>
        </w:rPr>
      </w:pPr>
    </w:p>
    <w:p>
      <w:p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b/>
          <w:sz w:val="24"/>
          <w:szCs w:val="24"/>
        </w:rPr>
        <w:t xml:space="preserve">Early Professional Development</w:t>
      </w:r>
      <w:r>
        <w:rPr>
          <w:rFonts w:ascii="Comic Sans MS" w:hAnsi="Comic Sans MS" w:eastAsia="Comic Sans MS" w:cs="Comic Sans MS"/>
          <w:sz w:val="28"/>
          <w:szCs w:val="28"/>
        </w:rPr>
        <w:t xml:space="preserve"> </w:t>
      </w:r>
      <w:r>
        <w:rPr>
          <w:rFonts w:ascii="Comic Sans MS" w:hAnsi="Comic Sans MS" w:eastAsia="Comic Sans MS" w:cs="Comic Sans MS"/>
          <w:sz w:val="24"/>
          <w:szCs w:val="24"/>
        </w:rPr>
        <w:t xml:space="preserve">[Years 2 &amp; 3] School the lead partner supported by CASS and HEIs</w:t>
      </w:r>
    </w:p>
    <w:p>
      <w:p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noProof/>
          <w:lang w:val="en-GB"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type="#_x0000_t67" style="position:absolute;margin-left:63pt;margin-top:9pt;width:20.25pt;height:37.9pt;z-index:251658240;;v-text-anchor:top;mso-wrap-distance-left:0pt;mso-wrap-distance-top:0pt;mso-wrap-distance-right:0pt;mso-wrap-distance-bottom:0pt;;position:absolute" filled="t" strokecolor="#000000" strokeweight="0.75pt">
            <v:stroke dashstyle="solid" linestyle="single" joinstyle="miter" endcap="flat" opacity="65536f"/>
            <v:fill opacity="65536f"/>
            <v:textbox style="">
              <w:txbxContent/>
            </v:textbox>
          </v:shape>
        </w:pict>
      </w:r>
    </w:p>
    <w:p>
      <w:pPr>
        <w:spacing w:line="276" w:lineRule="auto"/>
        <w:rPr>
          <w:rFonts w:ascii="Comic Sans MS" w:hAnsi="Comic Sans MS" w:eastAsia="Comic Sans MS" w:cs="Comic Sans MS"/>
          <w:b/>
          <w:sz w:val="24"/>
          <w:szCs w:val="24"/>
        </w:rPr>
      </w:pPr>
    </w:p>
    <w:p>
      <w:p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b/>
          <w:sz w:val="24"/>
          <w:szCs w:val="24"/>
        </w:rPr>
        <w:t xml:space="preserve">Performance Review and Staff Development</w:t>
      </w:r>
      <w:r>
        <w:rPr>
          <w:rFonts w:ascii="Comic Sans MS" w:hAnsi="Comic Sans MS" w:eastAsia="Comic Sans MS" w:cs="Comic Sans MS"/>
          <w:sz w:val="24"/>
          <w:szCs w:val="24"/>
        </w:rPr>
        <w:t xml:space="preserve"> [PRSD] [Year 4 to ‘retirement!] School in the lead and where appropriate ‘external agencies’ e.g. assessors</w:t>
      </w:r>
    </w:p>
    <w:p>
      <w:p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</w:rPr>
        <w:t xml:space="preserve">After 6 years of teaching and 2 cycles teacher can apply for </w:t>
      </w:r>
      <w:r>
        <w:rPr>
          <w:rFonts w:ascii="Comic Sans MS" w:hAnsi="Comic Sans MS" w:eastAsia="Comic Sans MS" w:cs="Comic Sans MS"/>
          <w:b/>
          <w:sz w:val="24"/>
          <w:szCs w:val="24"/>
        </w:rPr>
        <w:t xml:space="preserve">‘Threshold’</w:t>
      </w:r>
      <w:r>
        <w:rPr>
          <w:rFonts w:ascii="Comic Sans MS" w:hAnsi="Comic Sans MS" w:eastAsia="Comic Sans MS" w:cs="Comic Sans MS"/>
          <w:sz w:val="24"/>
          <w:szCs w:val="24"/>
        </w:rPr>
        <w:t xml:space="preserve"> payments.</w:t>
      </w:r>
    </w:p>
    <w:p>
      <w:pPr>
        <w:spacing w:line="276" w:lineRule="auto"/>
        <w:rPr>
          <w:rFonts w:ascii="Comic Sans MS" w:hAnsi="Comic Sans MS" w:eastAsia="Comic Sans MS" w:cs="Comic Sans MS"/>
          <w:b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</w:rPr>
        <w:t xml:space="preserve">The only other professional qualification available for teachers is the </w:t>
      </w:r>
      <w:r>
        <w:rPr>
          <w:rFonts w:ascii="Comic Sans MS" w:hAnsi="Comic Sans MS" w:eastAsia="Comic Sans MS" w:cs="Comic Sans MS"/>
          <w:b/>
          <w:sz w:val="24"/>
          <w:szCs w:val="24"/>
        </w:rPr>
        <w:t xml:space="preserve">Professional Qualification for Head Teachers</w:t>
      </w:r>
      <w:r>
        <w:rPr>
          <w:rFonts w:ascii="Comic Sans MS" w:hAnsi="Comic Sans MS" w:eastAsia="Comic Sans MS" w:cs="Comic Sans MS"/>
          <w:b/>
          <w:sz w:val="24"/>
          <w:szCs w:val="24"/>
        </w:rPr>
        <w:t xml:space="preserve">.</w:t>
      </w:r>
    </w:p>
    <w:p>
      <w:p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b/>
          <w:sz w:val="24"/>
          <w:szCs w:val="24"/>
        </w:rPr>
        <w:t xml:space="preserve">Under pinning</w:t>
      </w:r>
      <w:r>
        <w:rPr>
          <w:rFonts w:ascii="Comic Sans MS" w:hAnsi="Comic Sans MS" w:eastAsia="Comic Sans MS" w:cs="Comic Sans MS"/>
          <w:sz w:val="24"/>
          <w:szCs w:val="24"/>
        </w:rPr>
        <w:t xml:space="preserve"> the phases are the </w:t>
      </w:r>
      <w:r>
        <w:rPr>
          <w:rFonts w:ascii="Comic Sans MS" w:hAnsi="Comic Sans MS" w:eastAsia="Comic Sans MS" w:cs="Comic Sans MS"/>
          <w:b/>
          <w:sz w:val="24"/>
          <w:szCs w:val="24"/>
        </w:rPr>
        <w:t xml:space="preserve">27 Competences</w:t>
      </w:r>
      <w:r>
        <w:rPr>
          <w:rFonts w:ascii="Comic Sans MS" w:hAnsi="Comic Sans MS" w:eastAsia="Comic Sans MS" w:cs="Comic Sans MS"/>
          <w:sz w:val="24"/>
          <w:szCs w:val="24"/>
        </w:rPr>
        <w:t xml:space="preserve"> and a </w:t>
      </w:r>
      <w:r>
        <w:rPr>
          <w:rFonts w:ascii="Comic Sans MS" w:hAnsi="Comic Sans MS" w:eastAsia="Comic Sans MS" w:cs="Comic Sans MS"/>
          <w:b/>
          <w:sz w:val="24"/>
          <w:szCs w:val="24"/>
        </w:rPr>
        <w:t xml:space="preserve">Code of Values</w:t>
      </w:r>
      <w:r>
        <w:rPr>
          <w:rFonts w:ascii="Comic Sans MS" w:hAnsi="Comic Sans MS" w:eastAsia="Comic Sans MS" w:cs="Comic Sans MS"/>
          <w:b/>
          <w:sz w:val="24"/>
          <w:szCs w:val="24"/>
        </w:rPr>
        <w:t xml:space="preserve"> </w:t>
      </w:r>
      <w:r>
        <w:rPr>
          <w:rFonts w:ascii="Comic Sans MS" w:hAnsi="Comic Sans MS" w:eastAsia="Comic Sans MS" w:cs="Comic Sans MS"/>
          <w:sz w:val="24"/>
          <w:szCs w:val="24"/>
        </w:rPr>
        <w:t xml:space="preserve">as</w:t>
      </w:r>
      <w:r>
        <w:rPr>
          <w:rFonts w:ascii="Comic Sans MS" w:hAnsi="Comic Sans MS" w:eastAsia="Comic Sans MS" w:cs="Comic Sans MS"/>
          <w:sz w:val="24"/>
          <w:szCs w:val="24"/>
        </w:rPr>
        <w:t xml:space="preserve"> set out in the </w:t>
      </w:r>
      <w:r>
        <w:rPr>
          <w:rFonts w:ascii="Comic Sans MS" w:hAnsi="Comic Sans MS" w:eastAsia="Comic Sans MS" w:cs="Comic Sans MS"/>
          <w:b/>
          <w:sz w:val="24"/>
          <w:szCs w:val="24"/>
        </w:rPr>
        <w:t xml:space="preserve">General Teaching Council for Northern Ireland</w:t>
      </w:r>
      <w:r>
        <w:rPr>
          <w:rFonts w:ascii="Comic Sans MS" w:hAnsi="Comic Sans MS" w:eastAsia="Comic Sans MS" w:cs="Comic Sans MS"/>
          <w:sz w:val="24"/>
          <w:szCs w:val="24"/>
        </w:rPr>
        <w:t xml:space="preserve"> [GTCNI] publication  </w:t>
      </w:r>
      <w:r>
        <w:rPr>
          <w:rFonts w:ascii="Comic Sans MS" w:hAnsi="Comic Sans MS" w:eastAsia="Comic Sans MS" w:cs="Comic Sans MS"/>
          <w:b/>
          <w:sz w:val="24"/>
          <w:szCs w:val="24"/>
        </w:rPr>
        <w:t xml:space="preserve">Teaching: the Reflective Profession</w:t>
      </w:r>
      <w:r>
        <w:rPr>
          <w:rFonts w:ascii="Comic Sans MS" w:hAnsi="Comic Sans MS" w:eastAsia="Comic Sans MS" w:cs="Comic Sans MS"/>
          <w:sz w:val="24"/>
          <w:szCs w:val="24"/>
        </w:rPr>
        <w:t xml:space="preserve">. </w:t>
      </w:r>
    </w:p>
    <w:p>
      <w:pPr>
        <w:spacing w:line="276" w:lineRule="auto"/>
        <w:rPr>
          <w:rFonts w:ascii="Comic Sans MS" w:hAnsi="Comic Sans MS" w:eastAsia="Comic Sans MS" w:cs="Comic Sans MS"/>
          <w:sz w:val="28"/>
          <w:szCs w:val="28"/>
        </w:rPr>
      </w:pPr>
    </w:p>
    <w:p>
      <w:pPr>
        <w:spacing w:line="276" w:lineRule="auto"/>
        <w:rPr>
          <w:rFonts w:ascii="Comic Sans MS" w:hAnsi="Comic Sans MS" w:eastAsia="Comic Sans MS" w:cs="Comic Sans MS"/>
          <w:b/>
          <w:sz w:val="24"/>
          <w:szCs w:val="24"/>
        </w:rPr>
      </w:pPr>
      <w:r>
        <w:rPr/>
        <w:br w:type="page"/>
      </w:r>
      <w:r>
        <w:rPr>
          <w:rFonts w:ascii="Comic Sans MS" w:hAnsi="Comic Sans MS" w:eastAsia="Comic Sans MS" w:cs="Comic Sans MS"/>
          <w:b/>
          <w:sz w:val="24"/>
          <w:szCs w:val="24"/>
        </w:rPr>
        <w:t xml:space="preserve">Comments</w:t>
      </w:r>
    </w:p>
    <w:p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</w:rPr>
        <w:t xml:space="preserve">After year 6 with competence model ceases to be used by teachers in schools although the booklet has a section for Continuing Professional Development [CPD].</w:t>
      </w:r>
    </w:p>
    <w:p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</w:rPr>
        <w:t xml:space="preserve">Teachers initially have been empowered but become stagnant or set in their ways. Teaching becomes a product based profession instead of an educational journey with relevant content, reflected upon, reviewed and if necessary changed.</w:t>
      </w:r>
    </w:p>
    <w:p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</w:rPr>
        <w:t xml:space="preserve">There appears to be no time for thinking and relevant discussion. Conformity and appliance can become the norm.</w:t>
      </w:r>
    </w:p>
    <w:p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</w:rPr>
        <w:t xml:space="preserve">Partners tend to do their ‘own thing’ and as a result it can become difficult for schools and teachers in particular to match up ‘expectations’ i.e. Education and Training Inspectorate [ETI] Together Towards Improvement with Every School a Good School. </w:t>
      </w:r>
    </w:p>
    <w:p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</w:rPr>
        <w:t xml:space="preserve">If the learner is the centre of the ‘education programme’ teachers must be learners and model out what they expect their students to do in the classroom.</w:t>
      </w:r>
    </w:p>
    <w:p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</w:rPr>
        <w:t xml:space="preserve">A need for positive connections to be made between the partners [lifelong] and more so developmental at each of the stages which is manageable and meaningful for all concerned.</w:t>
      </w:r>
    </w:p>
    <w:p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</w:rPr>
        <w:t xml:space="preserve">Joined up thinking, discussion and planning from all the partners might prove useful for further developments.</w:t>
      </w:r>
    </w:p>
    <w:p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</w:rPr>
        <w:t xml:space="preserve">Problems serving two masters Department of Education [DE] and Department of Culture and Leisure [DECAL] with differing agendas.</w:t>
      </w:r>
    </w:p>
    <w:p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</w:rPr>
        <w:t xml:space="preserve">Common understanding of policies and practices would help in the classroom setting e.g. Problem Solving Methodology used by one group shared or commented on or alternatives for a variety of learning styles.</w:t>
      </w:r>
    </w:p>
    <w:p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</w:rPr>
        <w:t xml:space="preserve">Policy V Practice.</w:t>
      </w:r>
    </w:p>
    <w:p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</w:rPr>
        <w:t xml:space="preserve">Partnership should be outlets for ‘good practice’ and accreditation .</w:t>
      </w:r>
    </w:p>
    <w:sectPr>
      <w:type w:val="nextPage"/>
      <w:pgSz w:w="12240" w:h="15840"/>
      <w:pgMar w:top="1440" w:right="1440" w:bottom="1440" w:left="144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20002A87" w:usb1="80000000" w:usb2="00000008" w:usb3="00000000" w:csb0="000001FF" w:csb1="00000000"/>
  </w:font>
  <w:font w:name="Courier New">
    <w:charset w:val="0"/>
    <w:family w:val="modern"/>
    <w:pitch w:val="fixed"/>
    <w:sig w:usb0="20002A87" w:usb1="80000000" w:usb2="00000008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A00002EF" w:usb1="4000207B" w:usb2="00000000" w:usb3="00000000" w:csb0="0000009F" w:csb1="00000000"/>
  </w:font>
  <w:font w:name="Comic Sans MS">
    <w:charset w:val="0"/>
    <w:family w:val="script"/>
    <w:pitch w:val="variable"/>
    <w:sig w:usb0="00000287" w:usb1="00000000" w:usb2="00000000" w:usb3="00000000" w:csb0="0000009F" w:csb1="00000000"/>
  </w:font>
  <w:font w:name="Cambria">
    <w:charset w:val="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3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defaultTabStop w:val="720"/>
  <w:characterSpacingControl xmlns:w="http://schemas.openxmlformats.org/wordprocessingml/2006/main"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" w:uri="http://schemas.microsoft.com/office/word" w:val="1"/>
  </w:compat>
  <w:doNotIncludeSubdocsInStats xmlns:w="http://schemas.openxmlformats.org/wordprocessingml/2006/main"/>
  <w:doNotAutoCompressPictures xmlns:w="http://schemas.openxmlformats.org/wordprocessingml/2006/main"/>
  <w:smartTagType xmlns:w="http://schemas.openxmlformats.org/wordprocessingml/2006/main" w:namespaceuri="urn:schemas-microsoft-com:office:smarttags" w:name="country-regio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sz w:val="22"/>
        <w:szCs w:val="22"/>
        <w:lang w:val="en-GB" w:eastAsia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qFormat/>
    <w:pPr>
      <w:spacing w:after="200" w:line="276" w:lineRule="auto"/>
    </w:pPr>
    <w:rPr>
      <w:lang w:val="en-US" w:eastAsia="en-US"/>
    </w:rPr>
  </w:style>
  <w:style w:type="character" w:styleId="DefaultParagraphFont" w:default="1">
    <w:name w:val="Default Paragraph Font"/>
    <w:semiHidden/>
    <w:rPr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semiHidden/>
    <w:unhideWhenUsed/>
    <w:rPr/>
  </w:style>
  <w:style w:type="paragraph" w:styleId="ListParagraph" w:customStyle="1">
    <w:name w:val="List Paragraph"/>
    <w:basedOn w:val="Normal"/>
    <w:next w:val="ListParagraph"/>
    <w:qFormat/>
    <w:pPr>
      <w:spacing/>
      <w:ind w:left="72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1" Type="http://schemas.openxmlformats.org/officeDocument/2006/relationships/image" Target="media/image2.jpeg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Normal_Wordconv</Template>
  <TotalTime>2</TotalTime>
  <Pages>4</Pages>
  <Words>648</Words>
  <Characters>3698</Characters>
  <Application>Microsoft Office Outlook</Application>
  <DocSecurity>0</DocSecurity>
  <Lines>0</Lines>
  <Paragraphs>0</Paragraphs>
  <Company>ESA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Discussion Feedback</dc:title>
  <dc:subject/>
  <dc:creator>Mr Services User</dc:creator>
  <cp:keywords/>
  <dc:description/>
  <cp:lastModifiedBy>University Of Cumbria</cp:lastModifiedBy>
  <cp:revision>2</cp:revision>
  <dcterms:created xsi:type="dcterms:W3CDTF">2011-04-13T11:13:00Z</dcterms:created>
  <dcterms:modified xsi:type="dcterms:W3CDTF">2011-11-22T10:12:50.88Z</dcterms:modified>
</cp:coreProperties>
</file>