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pStyle w:val="LEUFPTitle"/>
        <w:spacing w:line="240" w:lineRule="auto"/>
        <w:jc w:val="center"/>
        <w:rPr>
          <w:rFonts w:ascii="Cambria" w:hAnsi="Cambria" w:eastAsia="Cambria" w:cs="Cambria"/>
          <w:b/>
          <w:sz w:val="24"/>
        </w:rPr>
      </w:pPr>
      <w:r>
        <w:rPr>
          <w:rFonts w:ascii="Cambria" w:hAnsi="Cambria" w:eastAsia="Cambria" w:cs="Cambria"/>
          <w:b/>
          <w:sz w:val="24"/>
        </w:rPr>
        <w:t xml:space="preserve">TEAN 2013 </w:t>
      </w:r>
      <w:r>
        <w:rPr>
          <w:rFonts w:ascii="Cambria" w:hAnsi="Cambria" w:eastAsia="Cambria" w:cs="Cambria"/>
          <w:b/>
          <w:sz w:val="24"/>
        </w:rPr>
        <w:t xml:space="preserve">  University of Cumbria, March 21, 2013</w:t>
      </w:r>
    </w:p>
    <w:p>
      <w:pPr>
        <w:pStyle w:val="LEUFPTitle"/>
        <w:spacing w:line="240" w:lineRule="auto"/>
        <w:jc w:val="center"/>
        <w:rPr>
          <w:rFonts w:ascii="Cambria" w:hAnsi="Cambria" w:eastAsia="Cambria" w:cs="Cambria"/>
          <w:b/>
          <w:sz w:val="24"/>
        </w:rPr>
      </w:pPr>
    </w:p>
    <w:p>
      <w:pPr>
        <w:pStyle w:val="LEUFPTitle"/>
        <w:spacing w:line="240" w:lineRule="auto"/>
        <w:jc w:val="center"/>
        <w:rPr>
          <w:rFonts w:ascii="Cambria" w:hAnsi="Cambria" w:eastAsia="Cambria" w:cs="Cambria"/>
          <w:b/>
          <w:sz w:val="24"/>
        </w:rPr>
      </w:pPr>
      <w:r>
        <w:rPr>
          <w:rFonts w:ascii="Cambria" w:hAnsi="Cambria" w:eastAsia="Cambria" w:cs="Cambria"/>
          <w:b/>
          <w:sz w:val="24"/>
        </w:rPr>
        <w:t xml:space="preserve">Ethnic minority and EAL needs in a changing school environment</w:t>
      </w:r>
    </w:p>
    <w:p>
      <w:pPr>
        <w:pStyle w:val="LEUFPTitle"/>
        <w:spacing w:line="240" w:lineRule="auto"/>
        <w:jc w:val="center"/>
        <w:rPr>
          <w:rFonts w:ascii="Cambria" w:hAnsi="Cambria" w:eastAsia="Cambria" w:cs="Cambria"/>
          <w:b/>
          <w:sz w:val="24"/>
        </w:rPr>
      </w:pPr>
    </w:p>
    <w:p>
      <w:pPr>
        <w:pStyle w:val="LEUFPTitle"/>
        <w:spacing w:line="240" w:lineRule="auto"/>
        <w:jc w:val="center"/>
        <w:rPr>
          <w:rFonts w:ascii="Cambria" w:hAnsi="Cambria" w:eastAsia="Cambria" w:cs="Cambria"/>
          <w:b/>
          <w:bCs/>
          <w:sz w:val="24"/>
        </w:rPr>
      </w:pPr>
      <w:r>
        <w:rPr>
          <w:rFonts w:ascii="Cambria" w:hAnsi="Cambria" w:eastAsia="Cambria" w:cs="Cambria"/>
          <w:b/>
          <w:bCs/>
          <w:sz w:val="24"/>
        </w:rPr>
        <w:t xml:space="preserve">Global voices in local spaces 2: new challenges for language diversity</w:t>
      </w:r>
    </w:p>
    <w:p>
      <w:pPr>
        <w:pStyle w:val="LEUFPTitle"/>
        <w:spacing w:line="240" w:lineRule="auto"/>
        <w:jc w:val="center"/>
        <w:rPr>
          <w:rFonts w:ascii="Cambria" w:hAnsi="Cambria" w:eastAsia="Cambria" w:cs="Cambria"/>
          <w:b/>
          <w:bCs/>
          <w:sz w:val="24"/>
        </w:rPr>
      </w:pPr>
      <w:r>
        <w:rPr>
          <w:rFonts w:ascii="Cambria" w:hAnsi="Cambria" w:eastAsia="Cambria" w:cs="Cambria"/>
          <w:b/>
          <w:bCs/>
          <w:sz w:val="24"/>
        </w:rPr>
        <w:t xml:space="preserve">in</w:t>
      </w:r>
      <w:r>
        <w:rPr>
          <w:rFonts w:ascii="Cambria" w:hAnsi="Cambria" w:eastAsia="Cambria" w:cs="Cambria"/>
          <w:b/>
          <w:bCs/>
          <w:sz w:val="24"/>
        </w:rPr>
        <w:t xml:space="preserve"> teacher education</w:t>
      </w:r>
    </w:p>
    <w:p>
      <w:pPr>
        <w:pStyle w:val="LEUFPTitle"/>
        <w:spacing w:line="240" w:lineRule="auto"/>
        <w:jc w:val="center"/>
        <w:rPr>
          <w:rFonts w:ascii="Cambria" w:hAnsi="Cambria" w:eastAsia="Cambria" w:cs="Cambria"/>
          <w:b/>
          <w:sz w:val="24"/>
        </w:rPr>
      </w:pPr>
    </w:p>
    <w:p>
      <w:pPr>
        <w:pStyle w:val="LEUFPTitle"/>
        <w:spacing w:line="240" w:lineRule="auto"/>
        <w:jc w:val="center"/>
        <w:rPr>
          <w:rFonts w:ascii="Cambria" w:hAnsi="Cambria" w:eastAsia="Cambria" w:cs="Cambria"/>
          <w:b/>
          <w:sz w:val="24"/>
        </w:rPr>
      </w:pPr>
      <w:bookmarkStart w:id="2" w:name="_GoBack"/>
      <w:r>
        <w:rPr>
          <w:rFonts w:ascii="Cambria" w:hAnsi="Cambria" w:eastAsia="Cambria" w:cs="Cambria"/>
          <w:b/>
          <w:sz w:val="24"/>
        </w:rPr>
        <w:t xml:space="preserve">Jean </w:t>
      </w:r>
      <w:r>
        <w:rPr>
          <w:rFonts w:ascii="Cambria" w:hAnsi="Cambria" w:eastAsia="Cambria" w:cs="Cambria"/>
          <w:b/>
          <w:sz w:val="24"/>
        </w:rPr>
        <w:t xml:space="preserve">Conteh</w:t>
      </w:r>
      <w:bookmarkEnd w:id="2"/>
    </w:p>
    <w:p>
      <w:pPr>
        <w:pStyle w:val="LEUFPTitle"/>
        <w:spacing w:line="240" w:lineRule="auto"/>
        <w:rPr>
          <w:rFonts w:ascii="Cambria" w:hAnsi="Cambria" w:eastAsia="Cambria" w:cs="Cambria"/>
          <w:sz w:val="24"/>
        </w:rPr>
      </w:pPr>
    </w:p>
    <w:p>
      <w:pPr>
        <w:pStyle w:val="LEUFPTitle"/>
        <w:spacing w:line="240" w:lineRule="auto"/>
        <w:rPr>
          <w:rFonts w:ascii="Cambria" w:hAnsi="Cambria" w:eastAsia="Cambria" w:cs="Cambria"/>
          <w:b/>
          <w:i/>
          <w:sz w:val="24"/>
        </w:rPr>
      </w:pPr>
      <w:r>
        <w:rPr>
          <w:rFonts w:ascii="Cambria" w:hAnsi="Cambria" w:eastAsia="Cambria" w:cs="Cambria"/>
          <w:b/>
          <w:i/>
          <w:sz w:val="24"/>
        </w:rPr>
        <w:t xml:space="preserve">Reference  list</w:t>
      </w:r>
    </w:p>
    <w:p>
      <w:pPr>
        <w:pStyle w:val="LEUFPTitle"/>
        <w:spacing w:line="240" w:lineRule="auto"/>
        <w:rPr>
          <w:rFonts w:ascii="Cambria" w:hAnsi="Cambria" w:eastAsia="Cambria" w:cs="Cambria"/>
          <w:sz w:val="24"/>
        </w:rPr>
      </w:pPr>
    </w:p>
    <w:p>
      <w:pPr>
        <w:pStyle w:val="LEUFPTitle"/>
        <w:spacing w:line="240" w:lineRule="auto"/>
        <w:ind w:left="567" w:hanging="567"/>
        <w:rPr>
          <w:rFonts w:ascii="Cambria" w:hAnsi="Cambria" w:eastAsia="Cambria" w:cs="Cambria"/>
          <w:sz w:val="24"/>
        </w:rPr>
      </w:pPr>
      <w:r>
        <w:rPr>
          <w:rFonts w:ascii="Cambria" w:hAnsi="Cambria" w:eastAsia="Cambria" w:cs="Cambria"/>
          <w:sz w:val="24"/>
        </w:rPr>
        <w:t xml:space="preserve">Barber, M. and </w:t>
      </w:r>
      <w:r>
        <w:rPr>
          <w:rFonts w:ascii="Cambria" w:hAnsi="Cambria" w:eastAsia="Cambria" w:cs="Cambria"/>
          <w:sz w:val="24"/>
        </w:rPr>
        <w:t xml:space="preserve">Mourshed</w:t>
      </w:r>
      <w:r>
        <w:rPr>
          <w:rFonts w:ascii="Cambria" w:hAnsi="Cambria" w:eastAsia="Cambria" w:cs="Cambria"/>
          <w:sz w:val="24"/>
        </w:rPr>
        <w:t xml:space="preserve">, M. (2007) </w:t>
      </w:r>
      <w:r>
        <w:rPr>
          <w:rFonts w:ascii="Cambria" w:hAnsi="Cambria" w:eastAsia="Cambria" w:cs="Cambria"/>
          <w:i/>
          <w:sz w:val="24"/>
        </w:rPr>
        <w:t xml:space="preserve">How the world’s best performing school systems came out on top</w:t>
      </w:r>
      <w:r>
        <w:rPr>
          <w:rFonts w:ascii="Cambria" w:hAnsi="Cambria" w:eastAsia="Cambria" w:cs="Cambria"/>
          <w:sz w:val="24"/>
        </w:rPr>
        <w:t xml:space="preserve">. McKinsey and Company.</w:t>
      </w:r>
    </w:p>
    <w:p>
      <w:pPr>
        <w:pStyle w:val="LEUFPTitle"/>
        <w:spacing w:line="240" w:lineRule="auto"/>
        <w:ind w:left="567" w:hanging="567"/>
        <w:rPr>
          <w:rFonts w:ascii="Cambria" w:hAnsi="Cambria" w:eastAsia="Cambria" w:cs="Cambria"/>
          <w:sz w:val="24"/>
        </w:rPr>
      </w:pPr>
    </w:p>
    <w:p>
      <w:pPr>
        <w:spacing/>
        <w:ind w:left="567" w:right="20" w:hanging="567"/>
        <w:rPr>
          <w:rFonts w:ascii="Cambria" w:hAnsi="Cambria" w:eastAsia="Cambria" w:cs="Cambria"/>
          <w:lang w:val="en-US"/>
        </w:rPr>
      </w:pPr>
      <w:r>
        <w:rPr>
          <w:rFonts w:ascii="Cambria" w:hAnsi="Cambria" w:eastAsia="Cambria" w:cs="Cambria"/>
          <w:lang w:val="en-US"/>
        </w:rPr>
        <w:t xml:space="preserve">Blackledge</w:t>
      </w:r>
      <w:r>
        <w:rPr>
          <w:rFonts w:ascii="Cambria" w:hAnsi="Cambria" w:eastAsia="Cambria" w:cs="Cambria"/>
          <w:lang w:val="en-US"/>
        </w:rPr>
        <w:t xml:space="preserve">, A., &amp; </w:t>
      </w:r>
      <w:r>
        <w:rPr>
          <w:rFonts w:ascii="Cambria" w:hAnsi="Cambria" w:eastAsia="Cambria" w:cs="Cambria"/>
          <w:lang w:val="en-US"/>
        </w:rPr>
        <w:t xml:space="preserve">Creese</w:t>
      </w:r>
      <w:r>
        <w:rPr>
          <w:rFonts w:ascii="Cambria" w:hAnsi="Cambria" w:eastAsia="Cambria" w:cs="Cambria"/>
          <w:lang w:val="en-US"/>
        </w:rPr>
        <w:t xml:space="preserve">, A. (2010) </w:t>
      </w:r>
      <w:r>
        <w:rPr>
          <w:rFonts w:ascii="Cambria" w:hAnsi="Cambria" w:eastAsia="Cambria" w:cs="Cambria"/>
          <w:i/>
          <w:lang w:val="en-US"/>
        </w:rPr>
        <w:t xml:space="preserve">Multilingualism: Critical perspectives</w:t>
      </w:r>
      <w:r>
        <w:rPr>
          <w:rFonts w:ascii="Cambria" w:hAnsi="Cambria" w:eastAsia="Cambria" w:cs="Cambria"/>
          <w:lang w:val="en-US"/>
        </w:rPr>
        <w:t xml:space="preserve">. London: Continuum.</w:t>
      </w:r>
    </w:p>
    <w:p>
      <w:pPr>
        <w:spacing/>
        <w:ind w:left="567" w:hanging="567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 xml:space="preserve">Heller, M. (Ed.) (2007) </w:t>
      </w:r>
      <w:r>
        <w:rPr>
          <w:rFonts w:ascii="Cambria" w:hAnsi="Cambria" w:eastAsia="Cambria" w:cs="Cambria"/>
          <w:i/>
        </w:rPr>
        <w:t xml:space="preserve">Bilingualism: A social approach.</w:t>
      </w:r>
      <w:r>
        <w:rPr>
          <w:rFonts w:ascii="Cambria" w:hAnsi="Cambria" w:eastAsia="Cambria" w:cs="Cambria"/>
        </w:rPr>
        <w:t xml:space="preserve"> Palgrave Macmillan</w:t>
      </w:r>
    </w:p>
    <w:p>
      <w:pPr>
        <w:pStyle w:val="LEUFPTitle"/>
        <w:spacing w:line="240" w:lineRule="auto"/>
        <w:rPr>
          <w:rFonts w:ascii="Cambria" w:hAnsi="Cambria" w:eastAsia="Cambria" w:cs="Cambria"/>
          <w:sz w:val="24"/>
        </w:rPr>
      </w:pPr>
    </w:p>
    <w:p>
      <w:pPr>
        <w:pStyle w:val="LEUFPTitle"/>
        <w:spacing w:line="240" w:lineRule="auto"/>
        <w:ind w:left="567" w:hanging="567"/>
        <w:rPr>
          <w:rFonts w:ascii="Cambria" w:hAnsi="Cambria" w:eastAsia="Cambria" w:cs="Cambria"/>
          <w:sz w:val="24"/>
        </w:rPr>
      </w:pPr>
      <w:r>
        <w:rPr>
          <w:rFonts w:ascii="Cambria" w:hAnsi="Cambria" w:eastAsia="Cambria" w:cs="Cambria"/>
          <w:sz w:val="24"/>
        </w:rPr>
        <w:t xml:space="preserve">Conteh</w:t>
      </w:r>
      <w:r>
        <w:rPr>
          <w:rFonts w:ascii="Cambria" w:hAnsi="Cambria" w:eastAsia="Cambria" w:cs="Cambria"/>
          <w:sz w:val="24"/>
        </w:rPr>
        <w:t xml:space="preserve">, J. (2007) </w:t>
      </w:r>
      <w:r>
        <w:rPr>
          <w:rFonts w:ascii="Cambria" w:hAnsi="Cambria" w:eastAsia="Cambria" w:cs="Cambria"/>
          <w:i/>
          <w:sz w:val="24"/>
        </w:rPr>
        <w:t xml:space="preserve">Opening doors to success in multilingual classrooms: bilingualism, </w:t>
      </w:r>
      <w:r>
        <w:rPr>
          <w:rFonts w:ascii="Cambria" w:hAnsi="Cambria" w:eastAsia="Cambria" w:cs="Cambria"/>
          <w:i/>
          <w:sz w:val="24"/>
        </w:rPr>
        <w:t xml:space="preserve">codeswitching</w:t>
      </w:r>
      <w:r>
        <w:rPr>
          <w:rFonts w:ascii="Cambria" w:hAnsi="Cambria" w:eastAsia="Cambria" w:cs="Cambria"/>
          <w:i/>
          <w:sz w:val="24"/>
        </w:rPr>
        <w:t xml:space="preserve"> and the professional identities of ‘ethnic minority’ primary teachers</w:t>
      </w:r>
      <w:r>
        <w:rPr>
          <w:rFonts w:ascii="Cambria" w:hAnsi="Cambria" w:eastAsia="Cambria" w:cs="Cambria"/>
          <w:sz w:val="24"/>
        </w:rPr>
        <w:t xml:space="preserve">, Language and Education,</w:t>
      </w:r>
      <w:r>
        <w:rPr>
          <w:rFonts w:ascii="Cambria" w:hAnsi="Cambria" w:eastAsia="Cambria" w:cs="Cambria"/>
          <w:i/>
          <w:sz w:val="24"/>
        </w:rPr>
        <w:t xml:space="preserve"> </w:t>
      </w:r>
      <w:r>
        <w:rPr>
          <w:rFonts w:ascii="Cambria" w:hAnsi="Cambria" w:eastAsia="Cambria" w:cs="Cambria"/>
          <w:sz w:val="24"/>
        </w:rPr>
        <w:t xml:space="preserve">21(6), 457-472.</w:t>
      </w:r>
    </w:p>
    <w:p>
      <w:pPr>
        <w:pStyle w:val="LEUFPTitle"/>
        <w:spacing w:line="240" w:lineRule="auto"/>
        <w:ind w:left="567" w:hanging="567"/>
        <w:rPr>
          <w:rFonts w:ascii="Cambria" w:hAnsi="Cambria" w:eastAsia="Cambria" w:cs="Cambria"/>
          <w:sz w:val="24"/>
        </w:rPr>
      </w:pPr>
    </w:p>
    <w:p>
      <w:pPr>
        <w:tabs>
          <w:tab w:val="left" w:pos="1985"/>
        </w:tabs>
        <w:spacing/>
        <w:ind w:left="567" w:hanging="567"/>
        <w:rPr>
          <w:rFonts w:ascii="Cambria" w:hAnsi="Cambria" w:eastAsia="Cambria" w:cs="Lucida Grande"/>
          <w:color w:val="353535"/>
          <w:lang w:val="en-US"/>
        </w:rPr>
      </w:pPr>
      <w:r>
        <w:rPr>
          <w:rFonts w:ascii="Cambria" w:hAnsi="Cambria" w:eastAsia="Cambria" w:cs="Lucida Grande"/>
          <w:color w:val="353535"/>
          <w:lang w:val="en-US"/>
        </w:rPr>
        <w:t xml:space="preserve">Conteh</w:t>
      </w:r>
      <w:r>
        <w:rPr>
          <w:rFonts w:ascii="Cambria" w:hAnsi="Cambria" w:eastAsia="Cambria" w:cs="Lucida Grande"/>
          <w:color w:val="353535"/>
          <w:lang w:val="en-US"/>
        </w:rPr>
        <w:t xml:space="preserve">, J. (2010) Making links across complementary and mainstream classrooms for primary children and their teachers. In V. </w:t>
      </w:r>
      <w:r>
        <w:rPr>
          <w:rFonts w:ascii="Cambria" w:hAnsi="Cambria" w:eastAsia="Cambria" w:cs="Lucida Grande"/>
          <w:color w:val="353535"/>
          <w:lang w:val="en-US"/>
        </w:rPr>
        <w:t xml:space="preserve">Lytra</w:t>
      </w:r>
      <w:r>
        <w:rPr>
          <w:rFonts w:ascii="Cambria" w:hAnsi="Cambria" w:eastAsia="Cambria" w:cs="Lucida Grande"/>
          <w:color w:val="353535"/>
          <w:lang w:val="en-US"/>
        </w:rPr>
        <w:t xml:space="preserve"> and P. Martin (</w:t>
      </w:r>
      <w:r>
        <w:rPr>
          <w:rFonts w:ascii="Cambria" w:hAnsi="Cambria" w:eastAsia="Cambria" w:cs="Lucida Grande"/>
          <w:color w:val="353535"/>
          <w:lang w:val="en-US"/>
        </w:rPr>
        <w:t xml:space="preserve">eds</w:t>
      </w:r>
      <w:r>
        <w:rPr>
          <w:rFonts w:ascii="Cambria" w:hAnsi="Cambria" w:eastAsia="Cambria" w:cs="Lucida Grande"/>
          <w:color w:val="353535"/>
          <w:lang w:val="en-US"/>
        </w:rPr>
        <w:t xml:space="preserve">) </w:t>
      </w:r>
      <w:r>
        <w:rPr>
          <w:rFonts w:ascii="Cambria" w:hAnsi="Cambria" w:eastAsia="Cambria" w:cs="Lucida Grande"/>
          <w:i/>
          <w:color w:val="353535"/>
          <w:lang w:val="en-US"/>
        </w:rPr>
        <w:t xml:space="preserve">Sites of multilingualism, </w:t>
      </w:r>
      <w:r>
        <w:rPr>
          <w:rFonts w:ascii="Cambria" w:hAnsi="Cambria" w:eastAsia="Cambria" w:cs="Lucida Grande"/>
          <w:color w:val="353535"/>
          <w:lang w:val="en-US"/>
        </w:rPr>
        <w:t xml:space="preserve">Stoke-on-Trent: </w:t>
      </w:r>
      <w:r>
        <w:rPr>
          <w:rFonts w:ascii="Cambria" w:hAnsi="Cambria" w:eastAsia="Cambria" w:cs="Lucida Grande"/>
          <w:color w:val="353535"/>
          <w:lang w:val="en-US"/>
        </w:rPr>
        <w:t xml:space="preserve">Trentham</w:t>
      </w:r>
      <w:r>
        <w:rPr>
          <w:rFonts w:ascii="Cambria" w:hAnsi="Cambria" w:eastAsia="Cambria" w:cs="Lucida Grande"/>
          <w:color w:val="353535"/>
          <w:lang w:val="en-US"/>
        </w:rPr>
        <w:t xml:space="preserve"> Books, 149-160.</w:t>
      </w:r>
    </w:p>
    <w:p>
      <w:pPr>
        <w:pStyle w:val="LEUFPTitle"/>
        <w:spacing w:line="240" w:lineRule="auto"/>
        <w:ind w:left="567" w:hanging="567"/>
        <w:rPr>
          <w:rFonts w:ascii="Cambria" w:hAnsi="Cambria" w:eastAsia="Cambria" w:cs="Cambria"/>
          <w:sz w:val="24"/>
        </w:rPr>
      </w:pPr>
    </w:p>
    <w:p>
      <w:pPr>
        <w:pStyle w:val="LEUFPTitle"/>
        <w:spacing w:line="240" w:lineRule="auto"/>
        <w:ind w:left="567" w:hanging="567"/>
        <w:rPr>
          <w:rFonts w:ascii="Cambria" w:hAnsi="Cambria" w:eastAsia="Cambria" w:cs="Cambria"/>
          <w:sz w:val="24"/>
        </w:rPr>
      </w:pPr>
      <w:r>
        <w:rPr>
          <w:rFonts w:ascii="Cambria" w:hAnsi="Cambria" w:eastAsia="Cambria" w:cs="Cambria"/>
          <w:sz w:val="24"/>
        </w:rPr>
        <w:t xml:space="preserve">Conteh</w:t>
      </w:r>
      <w:r>
        <w:rPr>
          <w:rFonts w:ascii="Cambria" w:hAnsi="Cambria" w:eastAsia="Cambria" w:cs="Cambria"/>
          <w:sz w:val="24"/>
        </w:rPr>
        <w:t xml:space="preserve">, J. (2012) </w:t>
      </w:r>
      <w:r>
        <w:rPr>
          <w:rFonts w:ascii="Cambria" w:hAnsi="Cambria" w:eastAsia="Cambria" w:cs="Cambria"/>
          <w:i/>
          <w:sz w:val="24"/>
        </w:rPr>
        <w:t xml:space="preserve">Teaching bilingual and EAL learners in primary schools.</w:t>
      </w:r>
      <w:r>
        <w:rPr>
          <w:rFonts w:ascii="Cambria" w:hAnsi="Cambria" w:eastAsia="Cambria" w:cs="Cambria"/>
          <w:sz w:val="24"/>
        </w:rPr>
        <w:t xml:space="preserve"> Learning Matters/Sage.</w:t>
      </w:r>
    </w:p>
    <w:p>
      <w:pPr>
        <w:pStyle w:val="LEUFPTitle"/>
        <w:spacing w:line="240" w:lineRule="auto"/>
        <w:ind w:left="567" w:hanging="567"/>
        <w:rPr>
          <w:rFonts w:ascii="Cambria" w:hAnsi="Cambria" w:eastAsia="Cambria" w:cs="Cambria"/>
          <w:sz w:val="24"/>
        </w:rPr>
      </w:pPr>
    </w:p>
    <w:p>
      <w:pPr>
        <w:pStyle w:val="LEUNormal"/>
        <w:spacing/>
        <w:ind w:left="567" w:hanging="567"/>
        <w:rPr>
          <w:rFonts w:ascii="Cambria" w:hAnsi="Cambria" w:eastAsia="Cambria" w:cs="Times"/>
          <w:bCs/>
          <w:color w:val="000000"/>
        </w:rPr>
      </w:pPr>
      <w:r>
        <w:rPr>
          <w:rFonts w:ascii="Cambria" w:hAnsi="Cambria" w:eastAsia="Cambria" w:cs="Cambria"/>
        </w:rPr>
        <w:t xml:space="preserve">Conteh</w:t>
      </w:r>
      <w:r>
        <w:rPr>
          <w:rFonts w:ascii="Cambria" w:hAnsi="Cambria" w:eastAsia="Cambria" w:cs="Cambria"/>
        </w:rPr>
        <w:t xml:space="preserve">, J.</w:t>
      </w:r>
      <w:r>
        <w:rPr>
          <w:rFonts w:ascii="Cambria" w:hAnsi="Cambria" w:eastAsia="Cambria" w:cs="Cambria"/>
        </w:rPr>
        <w:t xml:space="preserve">,  Martin</w:t>
      </w:r>
      <w:r>
        <w:rPr>
          <w:rFonts w:ascii="Cambria" w:hAnsi="Cambria" w:eastAsia="Cambria" w:cs="Cambria"/>
        </w:rPr>
        <w:t xml:space="preserve">, P. and </w:t>
      </w:r>
      <w:r>
        <w:rPr>
          <w:rFonts w:ascii="Cambria" w:hAnsi="Cambria" w:eastAsia="Cambria" w:cs="Cambria"/>
        </w:rPr>
        <w:t xml:space="preserve">Helavaara</w:t>
      </w:r>
      <w:r>
        <w:rPr>
          <w:rFonts w:ascii="Cambria" w:hAnsi="Cambria" w:eastAsia="Cambria" w:cs="Cambria"/>
        </w:rPr>
        <w:t xml:space="preserve"> Robertson L. (2007) (</w:t>
      </w:r>
      <w:r>
        <w:rPr>
          <w:rFonts w:ascii="Cambria" w:hAnsi="Cambria" w:eastAsia="Cambria" w:cs="Cambria"/>
        </w:rPr>
        <w:t xml:space="preserve">eds</w:t>
      </w:r>
      <w:r>
        <w:rPr>
          <w:rFonts w:ascii="Cambria" w:hAnsi="Cambria" w:eastAsia="Cambria" w:cs="Cambria"/>
        </w:rPr>
        <w:t xml:space="preserve">) </w:t>
      </w:r>
      <w:r>
        <w:rPr>
          <w:rFonts w:ascii="Cambria" w:hAnsi="Cambria" w:eastAsia="Cambria" w:cs="Cambria"/>
          <w:i/>
          <w:color w:val="000000"/>
        </w:rPr>
        <w:t xml:space="preserve">Multilingual learning stories in schools and communities in Britain</w:t>
      </w:r>
      <w:r>
        <w:rPr>
          <w:rFonts w:ascii="Cambria" w:hAnsi="Cambria" w:eastAsia="Cambria" w:cs="Cambria"/>
          <w:color w:val="000000"/>
        </w:rPr>
        <w:t xml:space="preserve">, </w:t>
      </w:r>
      <w:r>
        <w:rPr>
          <w:rFonts w:ascii="Cambria" w:hAnsi="Cambria" w:eastAsia="Cambria" w:cs="Times"/>
          <w:bCs/>
          <w:color w:val="000000"/>
        </w:rPr>
        <w:t xml:space="preserve">Stoke-on-Trent: </w:t>
      </w:r>
      <w:r>
        <w:rPr>
          <w:rFonts w:ascii="Cambria" w:hAnsi="Cambria" w:eastAsia="Cambria" w:cs="Times"/>
          <w:bCs/>
          <w:color w:val="000000"/>
        </w:rPr>
        <w:t xml:space="preserve">Trentham</w:t>
      </w:r>
      <w:r>
        <w:rPr>
          <w:rFonts w:ascii="Cambria" w:hAnsi="Cambria" w:eastAsia="Cambria" w:cs="Times"/>
          <w:bCs/>
          <w:color w:val="000000"/>
        </w:rPr>
        <w:t xml:space="preserve"> Books.</w:t>
      </w:r>
    </w:p>
    <w:p>
      <w:pPr>
        <w:pStyle w:val="LEUNormal"/>
        <w:spacing/>
        <w:ind w:left="567" w:hanging="567"/>
        <w:rPr>
          <w:rFonts w:ascii="Cambria" w:hAnsi="Cambria" w:eastAsia="Cambria" w:cs="Times"/>
          <w:bCs/>
          <w:color w:val="000000"/>
        </w:rPr>
      </w:pPr>
    </w:p>
    <w:p>
      <w:pPr>
        <w:pStyle w:val="LEUNormal"/>
        <w:spacing/>
        <w:ind w:left="567" w:hanging="567"/>
        <w:rPr>
          <w:rFonts w:ascii="Cambria" w:hAnsi="Cambria" w:eastAsia="Cambria" w:cs="Times"/>
          <w:bCs/>
          <w:color w:val="000000"/>
        </w:rPr>
      </w:pPr>
      <w:r>
        <w:rPr>
          <w:rFonts w:ascii="Cambria" w:hAnsi="Cambria" w:eastAsia="Cambria" w:cs="Cambria"/>
        </w:rPr>
        <w:t xml:space="preserve">Conteh</w:t>
      </w:r>
      <w:r>
        <w:rPr>
          <w:rFonts w:ascii="Cambria" w:hAnsi="Cambria" w:eastAsia="Cambria" w:cs="Cambria"/>
        </w:rPr>
        <w:t xml:space="preserve">, J. and Begum, S. Bilingual teachers as agents of social change: linking the community and the mainstream. In C. Kenner and T. Hickey, (</w:t>
      </w:r>
      <w:r>
        <w:rPr>
          <w:rFonts w:ascii="Cambria" w:hAnsi="Cambria" w:eastAsia="Cambria" w:cs="Cambria"/>
        </w:rPr>
        <w:t xml:space="preserve">eds</w:t>
      </w:r>
      <w:r>
        <w:rPr>
          <w:rFonts w:ascii="Cambria" w:hAnsi="Cambria" w:eastAsia="Cambria" w:cs="Cambria"/>
        </w:rPr>
        <w:t xml:space="preserve">) </w:t>
      </w:r>
      <w:r>
        <w:rPr>
          <w:rFonts w:ascii="Cambria" w:hAnsi="Cambria" w:eastAsia="Cambria" w:cs="Cambria"/>
          <w:i/>
        </w:rPr>
        <w:t xml:space="preserve">Multilingual Europe: diversity and learning</w:t>
      </w:r>
      <w:r>
        <w:rPr>
          <w:rFonts w:ascii="Cambria" w:hAnsi="Cambria" w:eastAsia="Cambria" w:cs="Cambria"/>
        </w:rPr>
        <w:t xml:space="preserve">, Stoke-on-Trent: </w:t>
      </w:r>
      <w:r>
        <w:rPr>
          <w:rFonts w:ascii="Cambria" w:hAnsi="Cambria" w:eastAsia="Cambria" w:cs="Cambria"/>
        </w:rPr>
        <w:t xml:space="preserve">Trentham</w:t>
      </w:r>
      <w:r>
        <w:rPr>
          <w:rFonts w:ascii="Cambria" w:hAnsi="Cambria" w:eastAsia="Cambria" w:cs="Cambria"/>
        </w:rPr>
        <w:t xml:space="preserve"> Books, 104-110.</w:t>
      </w:r>
    </w:p>
    <w:p>
      <w:pPr>
        <w:pStyle w:val="LEUNormal"/>
        <w:spacing/>
        <w:ind w:left="567" w:hanging="567"/>
        <w:rPr>
          <w:rFonts w:ascii="Cambria" w:hAnsi="Cambria" w:eastAsia="Cambria" w:cs="Cambria"/>
        </w:rPr>
      </w:pPr>
    </w:p>
    <w:p>
      <w:pPr>
        <w:spacing/>
        <w:ind w:left="567" w:hanging="567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 xml:space="preserve">Conteh</w:t>
      </w:r>
      <w:r>
        <w:rPr>
          <w:rFonts w:ascii="Cambria" w:hAnsi="Cambria" w:eastAsia="Cambria" w:cs="Cambria"/>
        </w:rPr>
        <w:t xml:space="preserve">, J. and Brock, A. </w:t>
      </w:r>
      <w:r>
        <w:rPr>
          <w:rFonts w:ascii="Cambria" w:hAnsi="Cambria" w:eastAsia="Cambria" w:cs="Cambria"/>
          <w:i/>
        </w:rPr>
        <w:t xml:space="preserve">Safe spaces’? </w:t>
      </w:r>
      <w:r>
        <w:rPr>
          <w:rFonts w:ascii="Cambria" w:hAnsi="Cambria" w:eastAsia="Cambria" w:cs="Cambria"/>
          <w:i/>
        </w:rPr>
        <w:t xml:space="preserve">sites</w:t>
      </w:r>
      <w:r>
        <w:rPr>
          <w:rFonts w:ascii="Cambria" w:hAnsi="Cambria" w:eastAsia="Cambria" w:cs="Cambria"/>
          <w:i/>
        </w:rPr>
        <w:t xml:space="preserve"> of bilingualism for young learners in home, school and community</w:t>
      </w:r>
      <w:r>
        <w:rPr>
          <w:rFonts w:ascii="Cambria" w:hAnsi="Cambria" w:eastAsia="Cambria" w:cs="Cambria"/>
        </w:rPr>
        <w:t xml:space="preserve">, International Journal of Bilingual Education and Bilingualism, 14(3), pp. 347-360.</w:t>
      </w:r>
    </w:p>
    <w:p>
      <w:pPr>
        <w:spacing/>
        <w:ind w:left="567" w:hanging="567"/>
        <w:rPr>
          <w:rFonts w:ascii="Cambria" w:hAnsi="Cambria" w:eastAsia="Cambria" w:cs="Cambria"/>
        </w:rPr>
      </w:pPr>
      <w:hyperlink r:id="rId1" w:history="1">
        <w:r>
          <w:rPr>
            <w:rStyle w:val="Hyperlink"/>
            <w:rFonts w:ascii="Cambria" w:hAnsi="Cambria" w:eastAsia="Cambria" w:cs="Cambria"/>
          </w:rPr>
          <w:t xml:space="preserve">http://www.informaworld.com/smpp/content~db=all~content=a924014542~frm=abslink?words=conteh|brock&amp;hash=1850177570</w:t>
        </w:r>
      </w:hyperlink>
    </w:p>
    <w:p>
      <w:pPr>
        <w:pStyle w:val="LEUNormal"/>
        <w:spacing/>
        <w:ind w:left="567" w:hanging="567"/>
        <w:rPr>
          <w:rFonts w:ascii="Cambria" w:hAnsi="Cambria" w:eastAsia="Cambria" w:cs="Cambria"/>
        </w:rPr>
      </w:pPr>
    </w:p>
    <w:p>
      <w:pPr>
        <w:spacing/>
        <w:ind w:left="567" w:right="20" w:hanging="567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 xml:space="preserve">Cummins, J. (2001) </w:t>
      </w:r>
      <w:r>
        <w:rPr>
          <w:rFonts w:ascii="Cambria" w:hAnsi="Cambria" w:eastAsia="Cambria" w:cs="Cambria"/>
          <w:i/>
        </w:rPr>
        <w:t xml:space="preserve">Negotiating identities: education for empowerment in a diverse society, 2</w:t>
      </w:r>
      <w:r>
        <w:rPr>
          <w:rFonts w:ascii="Cambria" w:hAnsi="Cambria" w:eastAsia="Cambria" w:cs="Cambria"/>
          <w:i/>
          <w:vertAlign w:val="superscript"/>
        </w:rPr>
        <w:t xml:space="preserve">nd</w:t>
      </w:r>
      <w:r>
        <w:rPr>
          <w:rFonts w:ascii="Cambria" w:hAnsi="Cambria" w:eastAsia="Cambria" w:cs="Cambria"/>
          <w:i/>
        </w:rPr>
        <w:t xml:space="preserve">. </w:t>
      </w:r>
      <w:r>
        <w:rPr>
          <w:rFonts w:ascii="Cambria" w:hAnsi="Cambria" w:eastAsia="Cambria" w:cs="Cambria"/>
          <w:i/>
        </w:rPr>
        <w:t xml:space="preserve">edn</w:t>
      </w:r>
      <w:r>
        <w:rPr>
          <w:rFonts w:ascii="Cambria" w:hAnsi="Cambria" w:eastAsia="Cambria" w:cs="Cambria"/>
          <w:i/>
        </w:rPr>
        <w:t xml:space="preserve">.</w:t>
      </w:r>
      <w:r>
        <w:rPr>
          <w:rFonts w:ascii="Cambria" w:hAnsi="Cambria" w:eastAsia="Cambria" w:cs="Cambria"/>
        </w:rPr>
        <w:t xml:space="preserve">  Ontario, CA: California Association for Bilingual Education.</w:t>
      </w:r>
    </w:p>
    <w:p>
      <w:pPr>
        <w:spacing/>
        <w:ind w:left="567" w:right="20" w:hanging="567"/>
        <w:rPr>
          <w:rFonts w:ascii="Cambria" w:hAnsi="Cambria" w:eastAsia="Cambria" w:cs="Cambria"/>
        </w:rPr>
      </w:pPr>
    </w:p>
    <w:p>
      <w:pPr>
        <w:spacing/>
        <w:ind w:left="567" w:right="20" w:hanging="567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 xml:space="preserve">Department of Education and Science (DES) (1985) </w:t>
      </w:r>
      <w:r>
        <w:rPr>
          <w:rFonts w:ascii="Cambria" w:hAnsi="Cambria" w:eastAsia="Cambria" w:cs="Cambria"/>
          <w:i/>
        </w:rPr>
        <w:t xml:space="preserve">Education for all – The report of the committee of inquiry into the education of children from ethnic minority Groups</w:t>
      </w:r>
      <w:r>
        <w:rPr>
          <w:rFonts w:ascii="Cambria" w:hAnsi="Cambria" w:eastAsia="Cambria" w:cs="Cambria"/>
        </w:rPr>
        <w:t xml:space="preserve">  (The Swann Report) London, HMSO.</w:t>
      </w:r>
    </w:p>
    <w:p>
      <w:pPr>
        <w:spacing/>
        <w:ind w:left="567" w:right="20" w:hanging="567"/>
        <w:rPr>
          <w:rFonts w:ascii="Cambria" w:hAnsi="Cambria" w:eastAsia="Cambria" w:cs="Cambria"/>
        </w:rPr>
      </w:pPr>
    </w:p>
    <w:p>
      <w:pPr>
        <w:spacing/>
        <w:ind w:left="567" w:right="20" w:hanging="567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 xml:space="preserve">DfE</w:t>
      </w:r>
      <w:r>
        <w:rPr>
          <w:rFonts w:ascii="Cambria" w:hAnsi="Cambria" w:eastAsia="Cambria" w:cs="Cambria"/>
        </w:rPr>
        <w:t xml:space="preserve"> (2012) Making foreign languages compulsory at Key Stage 2 https://www.education.gov.uk/aboutdfe/departmentalinformation/consultations</w:t>
      </w:r>
    </w:p>
    <w:p>
      <w:pPr>
        <w:spacing/>
        <w:ind w:left="567" w:right="20" w:hanging="567"/>
        <w:rPr>
          <w:rFonts w:ascii="Cambria" w:hAnsi="Cambria" w:eastAsia="Cambria" w:cs="Cambria"/>
        </w:rPr>
      </w:pPr>
    </w:p>
    <w:p>
      <w:pPr>
        <w:spacing/>
        <w:ind w:left="567" w:right="20" w:hanging="567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 xml:space="preserve">DfE</w:t>
      </w:r>
      <w:r>
        <w:rPr>
          <w:rFonts w:ascii="Cambria" w:hAnsi="Cambria" w:eastAsia="Cambria" w:cs="Cambria"/>
        </w:rPr>
        <w:t xml:space="preserve"> (2012) </w:t>
      </w:r>
      <w:r>
        <w:rPr>
          <w:rFonts w:ascii="Cambria" w:hAnsi="Cambria" w:eastAsia="Cambria" w:cs="Cambria"/>
          <w:i/>
        </w:rPr>
        <w:t xml:space="preserve">Teachers’ standards</w:t>
      </w:r>
      <w:r>
        <w:rPr>
          <w:rFonts w:ascii="Cambria" w:hAnsi="Cambria" w:eastAsia="Cambria" w:cs="Cambria"/>
        </w:rPr>
        <w:t xml:space="preserve"> </w:t>
      </w:r>
      <w:r>
        <w:rPr>
          <w:rFonts w:ascii="Cambria" w:hAnsi="Cambria" w:eastAsia="Cambria" w:cs="Cambria"/>
        </w:rPr>
        <w:t xml:space="preserve">https://www.education.gov.uk/publications/eOrderingDownload/teachers%20standards.pdf</w:t>
      </w:r>
    </w:p>
    <w:p>
      <w:pPr>
        <w:spacing/>
        <w:ind w:left="567" w:right="20" w:hanging="567"/>
        <w:rPr>
          <w:rFonts w:ascii="Cambria" w:hAnsi="Cambria" w:eastAsia="Cambria" w:cs="Cambria"/>
        </w:rPr>
      </w:pPr>
    </w:p>
    <w:p>
      <w:pPr>
        <w:pStyle w:val="LEUNormal"/>
        <w:spacing/>
        <w:ind w:left="567" w:hanging="567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 xml:space="preserve">EU-Comenius (2010) </w:t>
      </w:r>
      <w:r>
        <w:rPr>
          <w:rFonts w:ascii="Cambria" w:hAnsi="Cambria" w:eastAsia="Cambria" w:cs="Cambria"/>
          <w:i/>
        </w:rPr>
        <w:t xml:space="preserve">European core curriculum for mainstreamed second language - teacher education </w:t>
      </w:r>
      <w:hyperlink r:id="rId2" w:history="1">
        <w:r>
          <w:rPr>
            <w:rStyle w:val="Hyperlink"/>
            <w:rFonts w:ascii="Cambria" w:hAnsi="Cambria" w:eastAsia="Cambria" w:cs="Cambria"/>
          </w:rPr>
          <w:t xml:space="preserve">http://www.eucimte.eu/data/eso27/File/Londonconference/8.11.10_short_version.pdf</w:t>
        </w:r>
      </w:hyperlink>
      <w:r>
        <w:rPr>
          <w:rFonts w:ascii="Cambria" w:hAnsi="Cambria" w:eastAsia="Cambria" w:cs="Cambria"/>
        </w:rPr>
        <w:t xml:space="preserve"> </w:t>
      </w:r>
    </w:p>
    <w:p>
      <w:pPr>
        <w:pStyle w:val="LEUNormal"/>
        <w:spacing/>
        <w:rPr>
          <w:rFonts w:ascii="Cambria" w:hAnsi="Cambria" w:eastAsia="Cambria" w:cs="Cambria"/>
        </w:rPr>
      </w:pPr>
    </w:p>
    <w:p>
      <w:pPr>
        <w:widowControl w:val="false"/>
        <w:autoSpaceDE w:val="false"/>
        <w:autoSpaceDN w:val="false"/>
        <w:adjustRightInd w:val="false"/>
        <w:spacing/>
        <w:ind w:left="567" w:hanging="567"/>
        <w:rPr>
          <w:rFonts w:ascii="Cambria" w:hAnsi="Cambria" w:eastAsia="Cambria" w:cs="Cambria"/>
          <w:lang w:val="en-US"/>
        </w:rPr>
      </w:pPr>
      <w:r>
        <w:rPr>
          <w:rFonts w:ascii="Cambria" w:hAnsi="Cambria" w:eastAsia="Cambria" w:cs="Cambria"/>
          <w:lang w:val="en-US"/>
        </w:rPr>
        <w:t xml:space="preserve">Garci</w:t>
      </w:r>
      <w:r>
        <w:rPr>
          <w:lang w:val="en-US"/>
        </w:rPr>
        <w:t xml:space="preserve">à</w:t>
      </w:r>
      <w:r>
        <w:rPr>
          <w:rFonts w:ascii="Cambria" w:hAnsi="Cambria" w:eastAsia="Cambria" w:cs="Cambria"/>
          <w:lang w:val="en-US"/>
        </w:rPr>
        <w:t xml:space="preserve">, O. (2009) </w:t>
      </w:r>
      <w:r>
        <w:rPr>
          <w:rFonts w:ascii="Cambria" w:hAnsi="Cambria" w:eastAsia="Cambria" w:cs="Cambria"/>
          <w:i/>
          <w:lang w:val="en-US"/>
        </w:rPr>
        <w:t xml:space="preserve">Bi</w:t>
      </w:r>
      <w:r>
        <w:rPr>
          <w:rFonts w:ascii="Cambria" w:hAnsi="Cambria" w:eastAsia="Cambria" w:cs="Cambria"/>
          <w:i/>
          <w:lang w:val="en-US"/>
        </w:rPr>
        <w:t xml:space="preserve">lingual e</w:t>
      </w:r>
      <w:r>
        <w:rPr>
          <w:rFonts w:ascii="Cambria" w:hAnsi="Cambria" w:eastAsia="Cambria" w:cs="Cambria"/>
          <w:i/>
          <w:lang w:val="en-US"/>
        </w:rPr>
        <w:t xml:space="preserve">ducation in the 21</w:t>
      </w:r>
      <w:r>
        <w:rPr>
          <w:rFonts w:ascii="Cambria" w:hAnsi="Cambria" w:eastAsia="Cambria" w:cs="Cambria"/>
          <w:i/>
          <w:vertAlign w:val="superscript"/>
          <w:lang w:val="en-US"/>
        </w:rPr>
        <w:t xml:space="preserve">st</w:t>
      </w:r>
      <w:r>
        <w:rPr>
          <w:rFonts w:ascii="Cambria" w:hAnsi="Cambria" w:eastAsia="Cambria" w:cs="Cambria"/>
          <w:i/>
          <w:lang w:val="en-US"/>
        </w:rPr>
        <w:t xml:space="preserve">. century: A global perspective.</w:t>
      </w:r>
      <w:r>
        <w:rPr>
          <w:rFonts w:ascii="Cambria" w:hAnsi="Cambria" w:eastAsia="Cambria" w:cs="Cambria"/>
          <w:lang w:val="en-US"/>
        </w:rPr>
        <w:t xml:space="preserve"> Wiley-Blackwell.</w:t>
      </w:r>
    </w:p>
    <w:p>
      <w:pPr>
        <w:widowControl w:val="false"/>
        <w:autoSpaceDE w:val="false"/>
        <w:autoSpaceDN w:val="false"/>
        <w:adjustRightInd w:val="false"/>
        <w:spacing/>
        <w:ind w:left="567" w:hanging="567"/>
        <w:rPr>
          <w:rFonts w:ascii="Cambria" w:hAnsi="Cambria" w:eastAsia="Cambria" w:cs="Cambria"/>
          <w:lang w:val="en-US"/>
        </w:rPr>
      </w:pPr>
    </w:p>
    <w:p>
      <w:pPr>
        <w:widowControl w:val="false"/>
        <w:autoSpaceDE w:val="false"/>
        <w:autoSpaceDN w:val="false"/>
        <w:adjustRightInd w:val="false"/>
        <w:spacing/>
        <w:ind w:left="567" w:hanging="567"/>
        <w:rPr>
          <w:rFonts w:ascii="Cambria" w:hAnsi="Cambria" w:eastAsia="Cambria" w:cs="Cambria"/>
          <w:lang w:val="en-US"/>
        </w:rPr>
      </w:pPr>
      <w:r>
        <w:rPr>
          <w:rFonts w:ascii="Cambria" w:hAnsi="Cambria" w:eastAsia="Cambria" w:cs="Cambria"/>
          <w:lang w:val="en-US"/>
        </w:rPr>
        <w:t xml:space="preserve">Gonzalez, N., Moll, L. &amp; </w:t>
      </w:r>
      <w:r>
        <w:rPr>
          <w:rFonts w:ascii="Cambria" w:hAnsi="Cambria" w:eastAsia="Cambria" w:cs="Cambria"/>
          <w:lang w:val="en-US"/>
        </w:rPr>
        <w:t xml:space="preserve">Amanti</w:t>
      </w:r>
      <w:r>
        <w:rPr>
          <w:rFonts w:ascii="Cambria" w:hAnsi="Cambria" w:eastAsia="Cambria" w:cs="Cambria"/>
          <w:lang w:val="en-US"/>
        </w:rPr>
        <w:t xml:space="preserve">, C. (Eds.) (2005). </w:t>
      </w:r>
      <w:r>
        <w:rPr>
          <w:rFonts w:ascii="Cambria" w:hAnsi="Cambria" w:eastAsia="Cambria" w:cs="Cambria"/>
          <w:i/>
          <w:lang w:val="en-US"/>
        </w:rPr>
        <w:t xml:space="preserve">Funds of knowledge: Theorizing practices in households, communities and classrooms</w:t>
      </w:r>
      <w:r>
        <w:rPr>
          <w:rFonts w:ascii="Cambria" w:hAnsi="Cambria" w:eastAsia="Cambria" w:cs="Cambria"/>
          <w:lang w:val="en-US"/>
        </w:rPr>
        <w:t xml:space="preserve">. New York: </w:t>
      </w:r>
      <w:r>
        <w:rPr>
          <w:rFonts w:ascii="Cambria" w:hAnsi="Cambria" w:eastAsia="Cambria" w:cs="Cambria"/>
          <w:lang w:val="en-US"/>
        </w:rPr>
        <w:t xml:space="preserve">Routledge</w:t>
      </w:r>
      <w:r>
        <w:rPr>
          <w:rFonts w:ascii="Cambria" w:hAnsi="Cambria" w:eastAsia="Cambria" w:cs="Cambria"/>
          <w:lang w:val="en-US"/>
        </w:rPr>
        <w:t xml:space="preserve">.</w:t>
      </w:r>
    </w:p>
    <w:p>
      <w:pPr>
        <w:widowControl w:val="false"/>
        <w:autoSpaceDE w:val="false"/>
        <w:autoSpaceDN w:val="false"/>
        <w:adjustRightInd w:val="false"/>
        <w:spacing/>
        <w:ind w:left="567" w:hanging="567"/>
        <w:rPr>
          <w:rFonts w:ascii="Cambria" w:hAnsi="Cambria" w:eastAsia="Cambria" w:cs="Cambria"/>
          <w:i/>
          <w:lang w:val="en-US"/>
        </w:rPr>
      </w:pPr>
    </w:p>
    <w:p>
      <w:pPr>
        <w:spacing/>
        <w:ind w:left="567" w:hanging="567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 xml:space="preserve">Gregory, E. (2005) Playful talk: The interspace between home and school discourse. </w:t>
      </w:r>
      <w:r>
        <w:rPr>
          <w:rFonts w:ascii="Cambria" w:hAnsi="Cambria" w:eastAsia="Cambria" w:cs="Cambria"/>
          <w:i/>
        </w:rPr>
        <w:t xml:space="preserve">Early Years, </w:t>
      </w:r>
      <w:r>
        <w:rPr>
          <w:rFonts w:ascii="Cambria" w:hAnsi="Cambria" w:eastAsia="Cambria" w:cs="Cambria"/>
        </w:rPr>
        <w:t xml:space="preserve">25(3), 223-235.</w:t>
      </w:r>
    </w:p>
    <w:p>
      <w:pPr>
        <w:pStyle w:val="LEUNormal"/>
        <w:spacing/>
        <w:rPr>
          <w:rFonts w:ascii="Cambria" w:hAnsi="Cambria" w:eastAsia="Cambria" w:cs="Cambria"/>
          <w:szCs w:val="40"/>
        </w:rPr>
      </w:pPr>
    </w:p>
    <w:p>
      <w:pPr>
        <w:spacing/>
        <w:ind w:left="567" w:hanging="567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 xml:space="preserve">Heller, M. (Ed.) (2007) </w:t>
      </w:r>
      <w:r>
        <w:rPr>
          <w:rFonts w:ascii="Cambria" w:hAnsi="Cambria" w:eastAsia="Cambria" w:cs="Cambria"/>
          <w:i/>
        </w:rPr>
        <w:t xml:space="preserve">Bilingualism: A social approach.</w:t>
      </w:r>
      <w:r>
        <w:rPr>
          <w:rFonts w:ascii="Cambria" w:hAnsi="Cambria" w:eastAsia="Cambria" w:cs="Cambria"/>
        </w:rPr>
        <w:t xml:space="preserve"> Palgrave Macmillan</w:t>
      </w:r>
    </w:p>
    <w:p>
      <w:pPr>
        <w:spacing/>
        <w:ind w:left="567" w:hanging="567"/>
        <w:rPr>
          <w:rFonts w:ascii="Cambria" w:hAnsi="Cambria" w:eastAsia="Cambria" w:cs="Cambria"/>
        </w:rPr>
      </w:pPr>
    </w:p>
    <w:p>
      <w:pPr>
        <w:spacing/>
        <w:ind w:left="567" w:hanging="567"/>
        <w:rPr>
          <w:rFonts w:ascii="Cambria" w:hAnsi="Cambria" w:eastAsia="Cambria" w:cs="Cambria"/>
        </w:rPr>
      </w:pPr>
      <w:r>
        <w:rPr>
          <w:rFonts w:ascii="Cambria" w:hAnsi="Cambria" w:eastAsia="Cambria" w:cs="Helvetica"/>
          <w:bCs/>
          <w:szCs w:val="22"/>
          <w:lang w:val="en-US"/>
        </w:rPr>
        <w:t xml:space="preserve">Kenner, C. and Ruby, M. (2012) I</w:t>
      </w:r>
      <w:r>
        <w:rPr>
          <w:rFonts w:ascii="Cambria" w:hAnsi="Cambria" w:eastAsia="Cambria" w:cs="Helvetica"/>
          <w:bCs/>
          <w:i/>
          <w:szCs w:val="22"/>
          <w:lang w:val="en-US"/>
        </w:rPr>
        <w:t xml:space="preserve">nterconnecting worlds: teacher partnerships for bilingual learning,</w:t>
      </w:r>
      <w:r>
        <w:rPr>
          <w:rFonts w:ascii="Cambria" w:hAnsi="Cambria" w:eastAsia="Cambria" w:cs="Helvetica"/>
          <w:bCs/>
          <w:szCs w:val="22"/>
          <w:lang w:val="en-US"/>
        </w:rPr>
        <w:t xml:space="preserve"> </w:t>
      </w:r>
      <w:r>
        <w:rPr>
          <w:rFonts w:ascii="Cambria" w:hAnsi="Cambria" w:eastAsia="Cambria" w:cs="Times"/>
          <w:bCs/>
        </w:rPr>
        <w:t xml:space="preserve">Stoke-on-Trent: </w:t>
      </w:r>
      <w:r>
        <w:rPr>
          <w:rFonts w:ascii="Cambria" w:hAnsi="Cambria" w:eastAsia="Cambria" w:cs="Times"/>
          <w:bCs/>
        </w:rPr>
        <w:t xml:space="preserve">Trentham</w:t>
      </w:r>
      <w:r>
        <w:rPr>
          <w:rFonts w:ascii="Cambria" w:hAnsi="Cambria" w:eastAsia="Cambria" w:cs="Times"/>
          <w:bCs/>
        </w:rPr>
        <w:t xml:space="preserve"> Books.</w:t>
      </w:r>
    </w:p>
    <w:p>
      <w:pPr>
        <w:pStyle w:val="LEUNormal"/>
        <w:spacing/>
        <w:rPr>
          <w:rFonts w:ascii="Cambria" w:hAnsi="Cambria" w:eastAsia="Cambria" w:cs="Cambria"/>
          <w:szCs w:val="40"/>
        </w:rPr>
      </w:pPr>
    </w:p>
    <w:p>
      <w:pPr>
        <w:pStyle w:val="LEUFPTitle"/>
        <w:spacing w:line="240" w:lineRule="auto"/>
        <w:rPr>
          <w:rFonts w:ascii="Cambria" w:hAnsi="Cambria" w:eastAsia="Cambria" w:cs="Cambria"/>
          <w:sz w:val="24"/>
          <w:szCs w:val="40"/>
        </w:rPr>
      </w:pPr>
      <w:r>
        <w:rPr>
          <w:rFonts w:ascii="Cambria" w:hAnsi="Cambria" w:eastAsia="Cambria" w:cs="Cambria"/>
          <w:sz w:val="24"/>
          <w:szCs w:val="40"/>
        </w:rPr>
        <w:t xml:space="preserve">Meier, G. (2012) </w:t>
      </w:r>
      <w:r>
        <w:rPr>
          <w:rFonts w:ascii="Cambria" w:hAnsi="Cambria" w:eastAsia="Cambria" w:cs="Cambria"/>
          <w:i/>
          <w:sz w:val="24"/>
          <w:szCs w:val="40"/>
        </w:rPr>
        <w:t xml:space="preserve">The </w:t>
      </w:r>
      <w:r>
        <w:rPr>
          <w:rFonts w:ascii="Cambria" w:hAnsi="Cambria" w:eastAsia="Cambria" w:cs="Cambria"/>
          <w:i/>
          <w:sz w:val="24"/>
          <w:szCs w:val="40"/>
        </w:rPr>
        <w:t xml:space="preserve">Wix</w:t>
      </w:r>
      <w:r>
        <w:rPr>
          <w:rFonts w:ascii="Cambria" w:hAnsi="Cambria" w:eastAsia="Cambria" w:cs="Cambria"/>
          <w:i/>
          <w:sz w:val="24"/>
          <w:szCs w:val="40"/>
        </w:rPr>
        <w:t xml:space="preserve"> story: a summary report</w:t>
      </w:r>
      <w:r>
        <w:rPr>
          <w:rFonts w:ascii="Cambria" w:hAnsi="Cambria" w:eastAsia="Cambria" w:cs="Cambria"/>
          <w:sz w:val="24"/>
          <w:szCs w:val="40"/>
        </w:rPr>
        <w:t xml:space="preserve"> http://elac.ex.ac.uk:8080/bien_elgg/pg/file/read/196/wix-project-summary-report</w:t>
      </w:r>
    </w:p>
    <w:p>
      <w:pPr>
        <w:pStyle w:val="LEUFPTitle"/>
        <w:spacing w:line="240" w:lineRule="auto"/>
        <w:rPr>
          <w:rFonts w:ascii="Cambria" w:hAnsi="Cambria" w:eastAsia="Cambria" w:cs="Cambria"/>
          <w:sz w:val="24"/>
        </w:rPr>
      </w:pPr>
    </w:p>
    <w:p>
      <w:pPr>
        <w:pStyle w:val="LEUFPTitle"/>
        <w:spacing w:line="240" w:lineRule="auto"/>
        <w:rPr>
          <w:rFonts w:ascii="Cambria" w:hAnsi="Cambria" w:eastAsia="Cambria" w:cs="Cambria"/>
          <w:sz w:val="24"/>
        </w:rPr>
      </w:pPr>
      <w:r>
        <w:rPr>
          <w:rFonts w:ascii="Cambria" w:hAnsi="Cambria" w:eastAsia="Cambria" w:cs="Cambria"/>
          <w:sz w:val="24"/>
        </w:rPr>
        <w:t xml:space="preserve">Oxford, Cambridge and RSA (OCR) </w:t>
      </w:r>
      <w:r>
        <w:rPr>
          <w:rFonts w:ascii="Cambria" w:hAnsi="Cambria" w:eastAsia="Cambria" w:cs="Cambria"/>
          <w:i/>
          <w:sz w:val="24"/>
        </w:rPr>
        <w:t xml:space="preserve">Asset </w:t>
      </w:r>
      <w:r>
        <w:rPr>
          <w:rFonts w:ascii="Cambria" w:hAnsi="Cambria" w:eastAsia="Cambria" w:cs="Cambria"/>
          <w:i/>
          <w:sz w:val="24"/>
        </w:rPr>
        <w:t xml:space="preserve">languages</w:t>
      </w:r>
      <w:r>
        <w:rPr>
          <w:rFonts w:ascii="Cambria" w:hAnsi="Cambria" w:eastAsia="Cambria" w:cs="Cambria"/>
          <w:sz w:val="24"/>
        </w:rPr>
        <w:t xml:space="preserve">  http</w:t>
      </w:r>
      <w:r>
        <w:rPr>
          <w:rFonts w:ascii="Cambria" w:hAnsi="Cambria" w:eastAsia="Cambria" w:cs="Cambria"/>
          <w:sz w:val="24"/>
        </w:rPr>
        <w:t xml:space="preserve">://www.assetlanguages.org.uk/</w:t>
      </w:r>
    </w:p>
    <w:p>
      <w:pPr>
        <w:pStyle w:val="LEUFPTitle"/>
        <w:spacing w:line="240" w:lineRule="auto"/>
        <w:rPr>
          <w:rFonts w:ascii="Cambria" w:hAnsi="Cambria" w:eastAsia="Cambria" w:cs="Cambria"/>
          <w:sz w:val="24"/>
        </w:rPr>
      </w:pPr>
    </w:p>
    <w:p>
      <w:pPr>
        <w:widowControl w:val="false"/>
        <w:autoSpaceDE w:val="false"/>
        <w:autoSpaceDN w:val="false"/>
        <w:adjustRightInd w:val="false"/>
        <w:spacing/>
        <w:ind w:left="567" w:hanging="567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 xml:space="preserve">Roth, W.M., &amp; Lee Y.J. (2007) </w:t>
      </w:r>
      <w:r>
        <w:rPr>
          <w:rFonts w:ascii="Cambria" w:hAnsi="Cambria" w:eastAsia="Cambria" w:cs="Cambria"/>
        </w:rPr>
        <w:t xml:space="preserve">Vygotsky</w:t>
      </w:r>
      <w:r>
        <w:rPr>
          <w:rFonts w:ascii="Cambria" w:hAnsi="Cambria" w:eastAsia="Cambria" w:cs="Cambria"/>
          <w:bCs/>
        </w:rPr>
        <w:t xml:space="preserve">’</w:t>
      </w:r>
      <w:r>
        <w:rPr>
          <w:rFonts w:ascii="Cambria" w:hAnsi="Cambria" w:eastAsia="Cambria" w:cs="Cambria"/>
        </w:rPr>
        <w:t xml:space="preserve">s</w:t>
      </w:r>
      <w:r>
        <w:rPr>
          <w:rFonts w:ascii="Cambria" w:hAnsi="Cambria" w:eastAsia="Cambria" w:cs="Cambria"/>
        </w:rPr>
        <w:t xml:space="preserve"> neglected legacy</w:t>
      </w:r>
      <w:r>
        <w:rPr>
          <w:rFonts w:ascii="Cambria" w:hAnsi="Cambria" w:eastAsia="Cambria" w:cs="Cambria"/>
          <w:bCs/>
        </w:rPr>
        <w:t xml:space="preserve">’</w:t>
      </w:r>
      <w:r>
        <w:rPr>
          <w:rFonts w:ascii="Cambria" w:hAnsi="Cambria" w:eastAsia="Cambria" w:cs="Cambria"/>
        </w:rPr>
        <w:t xml:space="preserve">: Cultural-historical activity</w:t>
      </w:r>
    </w:p>
    <w:p>
      <w:pPr>
        <w:spacing/>
        <w:ind w:left="567"/>
        <w:rPr>
          <w:rFonts w:ascii="Cambria" w:hAnsi="Cambria" w:eastAsia="Cambria" w:cs="Cambria"/>
        </w:rPr>
      </w:pPr>
      <w:r>
        <w:rPr>
          <w:rFonts w:ascii="Cambria" w:hAnsi="Cambria" w:eastAsia="Cambria" w:cs="Cambria"/>
        </w:rPr>
        <w:t xml:space="preserve">theory</w:t>
      </w:r>
      <w:r>
        <w:rPr>
          <w:rFonts w:ascii="Cambria" w:hAnsi="Cambria" w:eastAsia="Cambria" w:cs="Cambria"/>
        </w:rPr>
        <w:t xml:space="preserve">. </w:t>
      </w:r>
      <w:r>
        <w:rPr>
          <w:rFonts w:ascii="Cambria" w:hAnsi="Cambria" w:eastAsia="Cambria" w:cs="Cambria"/>
          <w:i/>
        </w:rPr>
        <w:t xml:space="preserve">Review of Educational Research,</w:t>
      </w:r>
      <w:r>
        <w:rPr>
          <w:rFonts w:ascii="Cambria" w:hAnsi="Cambria" w:eastAsia="Cambria" w:cs="Cambria"/>
        </w:rPr>
        <w:t xml:space="preserve"> 77(2), 186</w:t>
      </w:r>
      <w:r>
        <w:rPr>
          <w:rFonts w:ascii="Cambria" w:hAnsi="Cambria" w:eastAsia="Cambria" w:cs="Cambria"/>
          <w:bCs/>
        </w:rPr>
        <w:t xml:space="preserve">-</w:t>
      </w:r>
      <w:r>
        <w:rPr>
          <w:rFonts w:ascii="Cambria" w:hAnsi="Cambria" w:eastAsia="Cambria" w:cs="Cambria"/>
        </w:rPr>
        <w:t xml:space="preserve">232.</w:t>
      </w:r>
    </w:p>
    <w:p>
      <w:pPr>
        <w:spacing/>
        <w:ind w:left="567"/>
        <w:rPr>
          <w:rFonts w:ascii="Cambria" w:hAnsi="Cambria" w:eastAsia="Cambria" w:cs="Cambria"/>
        </w:rPr>
      </w:pPr>
    </w:p>
    <w:p>
      <w:pPr>
        <w:spacing/>
        <w:rPr>
          <w:rFonts w:ascii="Cambria" w:hAnsi="Cambria" w:eastAsia="Cambria" w:cs="Cambria"/>
        </w:rPr>
      </w:pPr>
      <w:r>
        <w:rPr>
          <w:rFonts w:ascii="Cambria" w:hAnsi="Cambria" w:eastAsia="Cambria" w:cs="Arial"/>
          <w:lang w:val="en-US"/>
        </w:rPr>
        <w:t xml:space="preserve">Sneddon</w:t>
      </w:r>
      <w:r>
        <w:rPr>
          <w:rFonts w:ascii="Cambria" w:hAnsi="Cambria" w:eastAsia="Cambria" w:cs="Arial"/>
          <w:lang w:val="en-US"/>
        </w:rPr>
        <w:t xml:space="preserve">, R. 2009. </w:t>
      </w:r>
      <w:r>
        <w:rPr>
          <w:rFonts w:ascii="Cambria" w:hAnsi="Cambria" w:eastAsia="Cambria" w:cs="Arial"/>
          <w:i/>
          <w:iCs/>
          <w:lang w:val="en-US"/>
        </w:rPr>
        <w:t xml:space="preserve">Bilingual books - </w:t>
      </w:r>
      <w:r>
        <w:rPr>
          <w:rFonts w:ascii="Cambria" w:hAnsi="Cambria" w:eastAsia="Cambria" w:cs="Arial"/>
          <w:i/>
          <w:iCs/>
          <w:lang w:val="en-US"/>
        </w:rPr>
        <w:t xml:space="preserve">biliterate</w:t>
      </w:r>
      <w:r>
        <w:rPr>
          <w:rFonts w:ascii="Cambria" w:hAnsi="Cambria" w:eastAsia="Cambria" w:cs="Arial"/>
          <w:i/>
          <w:iCs/>
          <w:lang w:val="en-US"/>
        </w:rPr>
        <w:t xml:space="preserve"> c</w:t>
      </w:r>
      <w:r>
        <w:rPr>
          <w:rFonts w:ascii="Cambria" w:hAnsi="Cambria" w:eastAsia="Cambria" w:cs="Arial"/>
          <w:i/>
          <w:iCs/>
          <w:lang w:val="en-US"/>
        </w:rPr>
        <w:t xml:space="preserve">hildren.</w:t>
      </w:r>
      <w:r>
        <w:rPr>
          <w:rFonts w:ascii="Cambria" w:hAnsi="Cambria" w:eastAsia="Cambria" w:cs="Arial"/>
          <w:lang w:val="en-US"/>
        </w:rPr>
        <w:t xml:space="preserve"> Stoke-on-Trent: </w:t>
      </w:r>
      <w:r>
        <w:rPr>
          <w:rFonts w:ascii="Cambria" w:hAnsi="Cambria" w:eastAsia="Cambria" w:cs="Arial"/>
          <w:lang w:val="en-US"/>
        </w:rPr>
        <w:t xml:space="preserve">Trentham</w:t>
      </w:r>
      <w:r>
        <w:rPr>
          <w:rFonts w:ascii="Cambria" w:hAnsi="Cambria" w:eastAsia="Cambria" w:cs="Arial"/>
          <w:lang w:val="en-US"/>
        </w:rPr>
        <w:t xml:space="preserve"> Books</w:t>
      </w:r>
      <w:r>
        <w:rPr>
          <w:rFonts w:ascii="Cambria" w:hAnsi="Cambria" w:eastAsia="Cambria" w:cs="Arial"/>
          <w:lang w:val="en-US"/>
        </w:rPr>
        <w:t xml:space="preserve">.</w:t>
      </w:r>
    </w:p>
    <w:p>
      <w:pPr>
        <w:pStyle w:val="LEUFPTitle"/>
        <w:spacing w:line="240" w:lineRule="auto"/>
        <w:rPr>
          <w:rFonts w:ascii="Cambria" w:hAnsi="Cambria" w:eastAsia="Cambria" w:cs="Cambria"/>
          <w:sz w:val="24"/>
        </w:rPr>
      </w:pPr>
    </w:p>
    <w:p>
      <w:pPr>
        <w:pStyle w:val="LEUNormal"/>
        <w:spacing/>
        <w:rPr>
          <w:rFonts w:ascii="Cambria" w:hAnsi="Cambria" w:eastAsia="Cambria" w:cs="Cambria"/>
          <w:lang w:val="en-US"/>
        </w:rPr>
      </w:pPr>
      <w:r>
        <w:rPr>
          <w:rFonts w:ascii="Cambria" w:hAnsi="Cambria" w:eastAsia="Cambria" w:cs="Cambria"/>
          <w:lang w:val="en-US"/>
        </w:rPr>
        <w:t xml:space="preserve">Sneddon</w:t>
      </w:r>
      <w:r>
        <w:rPr>
          <w:rFonts w:ascii="Cambria" w:hAnsi="Cambria" w:eastAsia="Cambria" w:cs="Cambria"/>
          <w:lang w:val="en-US"/>
        </w:rPr>
        <w:t xml:space="preserve">, R. and Martin, P. </w:t>
      </w:r>
      <w:r>
        <w:rPr>
          <w:rFonts w:ascii="Cambria" w:hAnsi="Cambria" w:eastAsia="Cambria" w:cs="Cambria"/>
          <w:lang w:val="en-US"/>
        </w:rPr>
        <w:t xml:space="preserve">(2012)</w:t>
      </w:r>
      <w:r>
        <w:rPr>
          <w:rFonts w:ascii="Cambria" w:hAnsi="Cambria" w:eastAsia="Cambria" w:cs="Cambria"/>
          <w:lang w:val="en-US"/>
        </w:rPr>
        <w:t xml:space="preserve"> Alternative spaces of learning in east London: opportunities and challenges. In </w:t>
      </w:r>
      <w:r>
        <w:rPr>
          <w:rFonts w:ascii="Cambria" w:hAnsi="Cambria" w:eastAsia="Cambria" w:cs="Cambria"/>
          <w:i/>
          <w:lang w:val="en-US"/>
        </w:rPr>
        <w:t xml:space="preserve">Diaspora, Indigenous and Minority Education.</w:t>
      </w:r>
      <w:r>
        <w:rPr>
          <w:rFonts w:ascii="Cambria" w:hAnsi="Cambria" w:eastAsia="Cambria" w:cs="Cambria"/>
          <w:lang w:val="en-US"/>
        </w:rPr>
        <w:t xml:space="preserve"> </w:t>
      </w:r>
      <w:r>
        <w:rPr>
          <w:rFonts w:ascii="Cambria" w:hAnsi="Cambria" w:eastAsia="Cambria" w:cs="Cambria"/>
          <w:lang w:val="en-US"/>
        </w:rPr>
        <w:t xml:space="preserve">6 (</w:t>
      </w:r>
      <w:r>
        <w:rPr>
          <w:rFonts w:ascii="Cambria" w:hAnsi="Cambria" w:eastAsia="Cambria" w:cs="Cambria"/>
          <w:lang w:val="en-US"/>
        </w:rPr>
        <w:t xml:space="preserve">1</w:t>
      </w:r>
      <w:r>
        <w:rPr>
          <w:rFonts w:ascii="Cambria" w:hAnsi="Cambria" w:eastAsia="Cambria" w:cs="Cambria"/>
          <w:lang w:val="en-US"/>
        </w:rPr>
        <w:t xml:space="preserve">), </w:t>
      </w:r>
      <w:r>
        <w:rPr>
          <w:rFonts w:ascii="Cambria" w:hAnsi="Cambria" w:eastAsia="Cambria" w:cs="Cambria"/>
          <w:lang w:val="en-US"/>
        </w:rPr>
        <w:t xml:space="preserve">34-49.</w:t>
      </w:r>
    </w:p>
    <w:p>
      <w:pPr>
        <w:pStyle w:val="LEUNormal"/>
        <w:spacing/>
        <w:rPr>
          <w:rFonts w:ascii="Cambria" w:hAnsi="Cambria" w:eastAsia="Cambria" w:cs="Cambria"/>
          <w:szCs w:val="40"/>
        </w:rPr>
      </w:pPr>
    </w:p>
    <w:p>
      <w:pPr>
        <w:pStyle w:val="LEUNormal"/>
        <w:spacing/>
        <w:rPr>
          <w:rFonts w:ascii="Cambria" w:hAnsi="Cambria" w:eastAsia="Cambria" w:cs="Cambria"/>
          <w:szCs w:val="40"/>
        </w:rPr>
      </w:pPr>
      <w:r>
        <w:rPr>
          <w:rFonts w:ascii="Cambria" w:hAnsi="Cambria" w:eastAsia="Cambria" w:cs="Cambria"/>
          <w:szCs w:val="40"/>
        </w:rPr>
        <w:t xml:space="preserve">Tinsley, T. (2013) </w:t>
      </w:r>
      <w:r>
        <w:rPr>
          <w:rFonts w:ascii="Cambria" w:hAnsi="Cambria" w:eastAsia="Cambria" w:cs="Cambria"/>
          <w:i/>
          <w:szCs w:val="40"/>
        </w:rPr>
        <w:t xml:space="preserve">Languages: the state of the nation: demand and supply of language skills in the UK. </w:t>
      </w:r>
      <w:r>
        <w:rPr>
          <w:rFonts w:ascii="Cambria" w:hAnsi="Cambria" w:eastAsia="Cambria" w:cs="Cambria"/>
          <w:szCs w:val="40"/>
        </w:rPr>
        <w:t xml:space="preserve">British Academy/</w:t>
      </w:r>
      <w:r>
        <w:rPr>
          <w:rFonts w:ascii="Cambria" w:hAnsi="Cambria" w:eastAsia="Cambria" w:cs="Cambria"/>
          <w:szCs w:val="40"/>
        </w:rPr>
        <w:t xml:space="preserve">Alcantara</w:t>
      </w:r>
      <w:r>
        <w:rPr>
          <w:rFonts w:ascii="Cambria" w:hAnsi="Cambria" w:eastAsia="Cambria" w:cs="Cambria"/>
          <w:szCs w:val="40"/>
        </w:rPr>
        <w:t xml:space="preserve"> Communications</w:t>
      </w:r>
    </w:p>
    <w:p>
      <w:pPr>
        <w:spacing/>
        <w:rPr>
          <w:rFonts w:ascii="Cambria" w:hAnsi="Cambria" w:eastAsia="Cambria" w:cs="Cambria"/>
        </w:rPr>
      </w:pPr>
    </w:p>
    <w:p>
      <w:pPr>
        <w:spacing/>
        <w:rPr>
          <w:rFonts w:ascii="Cambria" w:hAnsi="Cambria" w:eastAsia="Cambria" w:cs="Cambria"/>
          <w:i/>
        </w:rPr>
      </w:pPr>
      <w:r>
        <w:rPr>
          <w:rFonts w:ascii="Cambria" w:hAnsi="Cambria" w:eastAsia="Cambria" w:cs="Cambria"/>
        </w:rPr>
        <w:t xml:space="preserve">Vertovec</w:t>
      </w:r>
      <w:r>
        <w:rPr>
          <w:rFonts w:ascii="Cambria" w:hAnsi="Cambria" w:eastAsia="Cambria" w:cs="Cambria"/>
        </w:rPr>
        <w:t xml:space="preserve">, S. (2007) Super-diversity and its implications</w:t>
      </w:r>
      <w:r>
        <w:rPr>
          <w:rFonts w:ascii="Cambria" w:hAnsi="Cambria" w:eastAsia="Cambria" w:cs="Cambria"/>
          <w:i/>
        </w:rPr>
        <w:t xml:space="preserve">.</w:t>
      </w:r>
      <w:r>
        <w:rPr>
          <w:rFonts w:ascii="Cambria" w:hAnsi="Cambria" w:eastAsia="Cambria" w:cs="Cambria"/>
        </w:rPr>
        <w:t xml:space="preserve"> </w:t>
      </w:r>
      <w:r>
        <w:rPr>
          <w:rFonts w:ascii="Cambria" w:hAnsi="Cambria" w:eastAsia="Cambria" w:cs="Cambria"/>
          <w:i/>
        </w:rPr>
        <w:t xml:space="preserve">Ethnic and Racial Studies</w:t>
      </w:r>
      <w:r>
        <w:rPr>
          <w:rFonts w:ascii="Cambria" w:hAnsi="Cambria" w:eastAsia="Cambria" w:cs="Cambria"/>
        </w:rPr>
        <w:t xml:space="preserve">, 30(6), 1024-1054.</w:t>
      </w:r>
    </w:p>
    <w:p>
      <w:pPr>
        <w:spacing/>
        <w:rPr>
          <w:rFonts w:ascii="Cambria" w:hAnsi="Cambria" w:eastAsia="Cambria" w:cs="Cambria"/>
        </w:rPr>
      </w:pPr>
    </w:p>
    <w:p>
      <w:pPr>
        <w:pStyle w:val="LEUNormal"/>
        <w:spacing/>
        <w:rPr>
          <w:rFonts w:ascii="Cambria" w:hAnsi="Cambria" w:eastAsia="Cambria" w:cs="Cambria"/>
          <w:szCs w:val="40"/>
        </w:rPr>
      </w:pPr>
    </w:p>
    <w:p>
      <w:pPr>
        <w:pStyle w:val="LEUNormal"/>
        <w:spacing/>
        <w:rPr>
          <w:rFonts w:ascii="Cambria" w:hAnsi="Cambria" w:eastAsia="Cambria" w:cs="Cambria"/>
          <w:szCs w:val="40"/>
        </w:rPr>
      </w:pPr>
    </w:p>
    <w:p>
      <w:pPr>
        <w:spacing/>
        <w:rPr>
          <w:rFonts w:ascii="Cambria" w:hAnsi="Cambria" w:eastAsia="Cambria" w:cs="Cambria"/>
        </w:rPr>
      </w:pPr>
    </w:p>
    <w:sectPr>
      <w:type w:val="nextPage"/>
      <w:pgSz w:w="11906" w:h="16838"/>
      <w:pgMar w:top="1440" w:right="1418" w:bottom="1440" w:left="1440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"/>
    <w:family w:val="roman"/>
    <w:pitch w:val="variable"/>
    <w:sig w:usb0="E00002FF" w:usb1="400004FF" w:usb2="00000000" w:usb3="00000000" w:csb0="0000019F" w:csb1="00000000"/>
  </w:font>
  <w:font w:name="Times New Roman">
    <w:charset w:val="0"/>
    <w:family w:val="roman"/>
    <w:pitch w:val="variable"/>
    <w:sig w:usb0="E0002AFF" w:usb1="C0007841" w:usb2="00000009" w:usb3="00000000" w:csb0="000001FF" w:csb1="00000000"/>
  </w:font>
  <w:font w:name="Arial">
    <w:charset w:val="0"/>
    <w:family w:val="swiss"/>
    <w:pitch w:val="variable"/>
    <w:sig w:usb0="E0002AFF" w:usb1="C0007843" w:usb2="00000009" w:usb3="00000000" w:csb0="000001FF" w:csb1="00000000"/>
  </w:font>
  <w:font w:name="Lucida Grande">
    <w:charset w:val="0"/>
    <w:family w:val="auto"/>
    <w:pitch w:val="variable"/>
    <w:sig w:usb0="00000003" w:usb1="00000000" w:usb2="00000000" w:usb3="00000000" w:csb0="00000001" w:csb1="00000000"/>
  </w:font>
  <w:font w:name="Times">
    <w:charset w:val="0"/>
    <w:family w:val="auto"/>
    <w:pitch w:val="variable"/>
    <w:sig w:usb0="00000003" w:usb1="00000000" w:usb2="00000000" w:usb3="00000000" w:csb0="00000001" w:csb1="00000000"/>
  </w:font>
  <w:font w:name="Helvetica">
    <w:charset w:val="0"/>
    <w:family w:val="swiss"/>
    <w:pitch w:val="variable"/>
    <w:sig w:usb0="00000003" w:usb1="00000000" w:usb2="00000000" w:usb3="00000000" w:csb0="00000001" w:csb1="00000000"/>
  </w:font>
  <w:font w:name="Calibri">
    <w:charset w:val="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embedSystemFonts xmlns:w="http://schemas.openxmlformats.org/wordprocessingml/2006/main"/>
  <w:proofState w:spelling="clean" w:grammar="clean"/>
  <w:doNotTrackMoves xmlns:w="http://schemas.openxmlformats.org/wordprocessingml/2006/main"/>
  <w:defaultTabStop w:val="720"/>
  <w:drawingGridHorizontalSpacing xmlns:w="http://schemas.openxmlformats.org/wordprocessingml/2006/main" w:val="360"/>
  <w:drawingGridVerticalSpacing xmlns:w="http://schemas.openxmlformats.org/wordprocessingml/2006/main" w:val="360"/>
  <w:displayHorizontalDrawingGridEvery xmlns:w="http://schemas.openxmlformats.org/wordprocessingml/2006/main" w:val="0"/>
  <w:displayVerticalDrawingGridEvery xmlns:w="http://schemas.openxmlformats.org/wordprocessingml/2006/main" w:val="0"/>
  <w:characterSpacingControl xmlns:w="http://schemas.openxmlformats.org/wordprocessingml/2006/main"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hAnsi="Cambria" w:eastAsia="Cambria" w:cs="Cambria"/>
        <w:sz w:val="24"/>
        <w:szCs w:val="24"/>
        <w:lang w:val="en-GB" w:eastAsia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/>
    </w:pPr>
    <w:rPr>
      <w:rFonts w:ascii="Cambria" w:hAnsi="Cambria" w:eastAsia="Cambria" w:cs="Times New Roman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paragraph" w:styleId="LEUNormal" w:customStyle="1">
    <w:name w:val="LEU_Normal"/>
    <w:next w:val="Normal"/>
    <w:link w:val="LEU_NormalChar"/>
    <w:pPr>
      <w:spacing/>
    </w:pPr>
    <w:rPr>
      <w:rFonts w:ascii="Arial" w:hAnsi="Arial" w:eastAsia="Times New Roman" w:cs="Arial"/>
    </w:rPr>
  </w:style>
  <w:style w:type="character" w:styleId="LEUNormalChar" w:customStyle="1">
    <w:name w:val="LEU_Normal Char"/>
    <w:basedOn w:val="DefaultParagraphFont"/>
    <w:link w:val="LEU_Normal"/>
    <w:rPr>
      <w:rFonts w:ascii="Arial" w:hAnsi="Arial" w:eastAsia="Times New Roman" w:cs="Arial"/>
    </w:rPr>
  </w:style>
  <w:style w:type="paragraph" w:styleId="LEUFPTitle" w:customStyle="1">
    <w:name w:val="LEU_FP_Title"/>
    <w:basedOn w:val="LEUNormal"/>
    <w:next w:val="Normal"/>
    <w:pPr>
      <w:spacing w:line="720" w:lineRule="exact"/>
    </w:pPr>
    <w:rPr>
      <w:sz w:val="64"/>
      <w:szCs w:val="64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hyperlink" Target="http://www.informaworld.com/smpp/content~db=all~content=a924014542~frm=abslink?words=conteh%7Cbrock&amp;hash=1850177570" TargetMode="External" /><Relationship Id="rId2" Type="http://schemas.openxmlformats.org/officeDocument/2006/relationships/hyperlink" Target="http://www.eucimte.eu/data/eso27/File/Londonconference/8.11.10_short_version.pdf" TargetMode="Externa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20</TotalTime>
  <Pages>2</Pages>
  <Words>635</Words>
  <Characters>3620</Characters>
  <Application>Microsoft Office Word</Application>
  <DocSecurity>0</DocSecurity>
  <Lines>30</Lines>
  <Paragraphs>8</Paragraphs>
  <Company>University Of Cumbria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Conteh's Reading List</dc:title>
  <dc:subject/>
  <dc:creator>Mr Services User</dc:creator>
  <cp:keywords/>
  <cp:lastModifiedBy>robert.donnelly</cp:lastModifiedBy>
  <cp:revision>4</cp:revision>
  <dcterms:created xsi:type="dcterms:W3CDTF">2013-03-13T09:29:00Z</dcterms:created>
  <dcterms:modified xsi:type="dcterms:W3CDTF">2013-04-08T14:42:41.55Z</dcterms:modified>
</cp:coreProperties>
</file>