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3706495</wp:posOffset>
                </wp:positionV>
                <wp:extent cx="2174240" cy="2581275"/>
                <wp:wrapNone/>
                <wp:docPr id="1" name="AutoShape 4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258127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3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Ure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(2010): shared understanding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Common set of expectations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Leading by example / demonstrating (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Ure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, Petty)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Kosnik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/Beck (2009): Vision for teaching?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Hobson (2006): all members of staff mentors for trainee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142" w:hanging="142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Cornu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/Ewing (2008): learning partnerships 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167.1pt;margin-top:291.85pt;width:171.2pt;height:203.25pt;z-index:251667456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pStyle w:val="ListParagraph"/>
                        <w:numPr>
                          <w:ilvl w:val="3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Ure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(2010): shared understanding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Common set of expectations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Leading by example / demonstrating (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Ure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, Petty)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Kosnik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/Beck (2009): Vision for teaching?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Hobson (2006): all members of staff mentors for trainee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142" w:hanging="142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Le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Cornu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/Ewing (2008): learning partnerships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308610</wp:posOffset>
                </wp:positionV>
                <wp:extent cx="3085465" cy="2202180"/>
                <wp:wrapNone/>
                <wp:docPr id="2" name="AutoShape 1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220218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Extended literature review 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(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lesson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planning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, expectations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Students’ consultation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sym w:char="F0E0" w:font="Wingdings"/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questionnaires (before DP / towards end of LP)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Expectation booklet in draft form for consultation within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partnership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Sharing with wider audience at TEAN conference in May 2011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Booklet ready for September 2011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-45pt;margin-top:24.3pt;width:242.95pt;height:173.4pt;z-index:251654144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Extended literature review </w:t>
                      </w:r>
                    </w:p>
                    <w:p>
                      <w:pPr>
                        <w:pStyle w:val="ListParagraph"/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(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lesson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planning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, expectations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Students’ consultation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sym w:char="F0E0" w:font="Wingdings"/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questionnaires (before DP / towards end of LP)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Expectation booklet in draft form for consultation within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partnership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Sharing with wider audience at TEAN conference in May 2011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Booklet ready for September 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-1036320</wp:posOffset>
                </wp:positionV>
                <wp:extent cx="2228850" cy="914400"/>
                <wp:wrapNone/>
                <wp:docPr id="3" name="Oval 2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144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  <w:t xml:space="preserve">Discussion / Feedback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7.2pt" tIns="3.6pt" rIns="7.2pt" bIns="3.6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style="position:absolute;margin-left:162pt;margin-top:-81.6pt;width:175.5pt;height:72pt;z-index:251659264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  <w:t xml:space="preserve">Discussion / Feedback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4516755</wp:posOffset>
                </wp:positionV>
                <wp:extent cx="2884170" cy="1192530"/>
                <wp:wrapNone/>
                <wp:docPr id="4" name="AutoShape 5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119253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  <w:t xml:space="preserve">The White Paper, 2010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Trainees not confident some key skills (early reading, behaviour)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On the job training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Strongest schools: Teaching Schools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-60pt;margin-top:355.65pt;width:227.1pt;height:93.9pt;z-index:251668480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  <w:t xml:space="preserve">The White Paper, 2010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Trainees not confident some key skills (early reading, behaviour)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On the job training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Strongest schools: Teaching Schools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3145155</wp:posOffset>
                </wp:positionV>
                <wp:extent cx="2729865" cy="3067685"/>
                <wp:wrapNone/>
                <wp:docPr id="5" name="AutoShape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306768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Starting points</w:t>
                            </w: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Kyr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iacou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Kunc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 (2007):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40% of trainees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sym w:char="F0E0" w:font="Wingdings"/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not into profession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40% of teachers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sym w:char="F0E0" w:font="Wingdings"/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leave profession within first 5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yrs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School management / time pressure &amp; work-load / pupil behaviour / work-life balance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Lack of professional support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Issue: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expectations from trainees / experienced colleagues –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OfSTED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myth 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531.75pt;margin-top:247.65pt;width:214.95pt;height:241.55pt;z-index:251657216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Starting points</w:t>
                      </w: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Kyr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iacou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Kunc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 (2007):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40% of trainees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sym w:char="F0E0" w:font="Wingdings"/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not into profession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40% of teachers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sym w:char="F0E0" w:font="Wingdings"/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leave profession within first 5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yrs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School management / time pressure &amp; work-load / pupil behaviour / work-life balance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Lack of professional support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Issue: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expectations from trainees / experienced colleagues –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OfSTED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myth </w:t>
                      </w:r>
                    </w:p>
                    <w:p>
                      <w:pPr>
                        <w:pStyle w:val="ListParagraph"/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  <w:p>
                      <w:pPr>
                        <w:spacing/>
                        <w:rPr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3754755</wp:posOffset>
                </wp:positionV>
                <wp:extent cx="2466340" cy="2514600"/>
                <wp:wrapNone/>
                <wp:docPr id="6" name="AutoShape 4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“Despite the growing literature on the reasons why beginning teachers chose to remain in or leave the profession, surprisingly little attention has been paid specifically to the initial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expectations of teaching held by beginning teachers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during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the PGCE year .... “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Kyriacou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, C.,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Kunc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, R. (2007): Beginning teachers’ expectations of teaching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; p. 1248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ind w:left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337.5pt;margin-top:295.65pt;width:194.2pt;height:198pt;z-index:251666432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“Despite the growing literature on the reasons why beginning teachers chose to remain in or leave the profession, surprisingly little attention has been paid specifically to the initial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expectations of teaching held by beginning teachers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during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the PGCE year .... “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Kyriacou</w:t>
                      </w: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, C., </w:t>
                      </w: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Kunc</w:t>
                      </w: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, R. (2007): Beginning teachers’ expectations of teaching</w:t>
                      </w: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; p. 1248</w:t>
                      </w:r>
                      <w:r>
                        <w:rPr>
                          <w:rFonts w:ascii="Comic Sans MS" w:hAnsi="Comic Sans MS" w:eastAsia="Comic Sans MS" w:cs="Comic Sans MS"/>
                          <w:sz w:val="16"/>
                          <w:szCs w:val="16"/>
                        </w:rPr>
                        <w:t xml:space="preserve">  </w:t>
                      </w:r>
                    </w:p>
                    <w:p>
                      <w:pPr>
                        <w:pStyle w:val="ListParagraph"/>
                        <w:spacing/>
                        <w:ind w:left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-800100</wp:posOffset>
                </wp:positionV>
                <wp:extent cx="3086100" cy="1106805"/>
                <wp:wrapNone/>
                <wp:docPr id="7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0680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  <w:t xml:space="preserve">Lesson planning discussion</w:t>
                            </w: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email conversation among PGCE secondary team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expectation sheet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504pt;margin-top:-63pt;width:243pt;height:87.15pt;z-index:251653120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  <w:t xml:space="preserve">Lesson planning discussion</w:t>
                      </w: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email conversation among PGCE secondary team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expectation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639445</wp:posOffset>
                </wp:positionV>
                <wp:extent cx="3160395" cy="2058035"/>
                <wp:wrapNone/>
                <wp:docPr id="8" name="AutoShape 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205803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The product: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      Guide for PT/SM/PGCE students re: </w:t>
                            </w: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expectations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during DP / LP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/>
                              <w:ind w:left="567" w:hanging="283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Greater understandi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ng of shared vision across the partnership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/>
                              <w:ind w:left="567" w:hanging="283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Consistency across partnership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/>
                              <w:ind w:left="567" w:hanging="283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Personal aim: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to reflect on the journey from teacher to teacher trainer 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rPr>
                                <w:rFonts w:ascii="Comic Sans MS" w:hAnsi="Comic Sans MS" w:eastAsia="Comic Sans MS" w:cs="Comic Sans MS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504pt;margin-top:50.35pt;width:248.85pt;height:162.05pt;z-index:251656192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The product: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      Guide for PT/SM/PGCE students re: </w:t>
                      </w: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expectations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during DP / LP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/>
                        <w:ind w:left="567" w:hanging="283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Greater understandi</w:t>
                      </w:r>
                      <w:bookmarkEnd w:id="2"/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ng of shared vision across the partnership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/>
                        <w:ind w:left="567" w:hanging="283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Consistency across partnership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/>
                        <w:ind w:left="567" w:hanging="283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/>
                          <w:sz w:val="22"/>
                          <w:szCs w:val="22"/>
                          <w:u w:val="single"/>
                        </w:rPr>
                        <w:t xml:space="preserve">Personal aim: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to reflect on the journey from teacher to teacher trainer </w:t>
                      </w:r>
                    </w:p>
                    <w:p>
                      <w:pPr>
                        <w:pStyle w:val="ListParagraph"/>
                        <w:spacing/>
                        <w:rPr>
                          <w:rFonts w:ascii="Comic Sans MS" w:hAnsi="Comic Sans MS" w:eastAsia="Comic Sans MS" w:cs="Comic Sans MS"/>
                          <w:szCs w:val="20"/>
                          <w:u w:val="single"/>
                        </w:rPr>
                      </w:pP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Cs w:val="20"/>
                          <w:u w:val="single"/>
                        </w:rPr>
                      </w:pP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b/>
                          <w:szCs w:val="20"/>
                          <w:u w:val="single"/>
                        </w:rPr>
                      </w:pPr>
                    </w:p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2697480</wp:posOffset>
                </wp:positionV>
                <wp:extent cx="2341245" cy="1740535"/>
                <wp:wrapNone/>
                <wp:docPr id="9" name="AutoShape 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174053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/>
                              <w:ind w:left="426" w:hanging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Initial discussion in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ind w:left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PGCE team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426" w:hanging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Subject Mentors’ input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426" w:hanging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Shared at partnership meetings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sym w:char="F0E0" w:font="Wingdings"/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PTs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426" w:hanging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Research Tea proposal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/>
                              <w:ind w:left="426" w:hanging="426"/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TEAN round table discussion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2"/>
                                <w:szCs w:val="22"/>
                              </w:rPr>
                              <w:t xml:space="preserve">proposal written /accepted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-59.85pt;margin-top:212.4pt;width:184.35pt;height:137.05pt;z-index:251669504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/>
                        <w:ind w:left="426" w:hanging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Initial discussion in</w:t>
                      </w:r>
                    </w:p>
                    <w:p>
                      <w:pPr>
                        <w:pStyle w:val="ListParagraph"/>
                        <w:spacing/>
                        <w:ind w:left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PGCE team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426" w:hanging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Subject Mentors’ input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426" w:hanging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Shared at partnership meetings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sym w:char="F0E0" w:font="Wingdings"/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PTs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426" w:hanging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Research Tea proposal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/>
                        <w:ind w:left="426" w:hanging="426"/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TEAN round table discussion </w:t>
                      </w:r>
                      <w:r>
                        <w:rPr>
                          <w:rFonts w:ascii="Comic Sans MS" w:hAnsi="Comic Sans MS" w:eastAsia="Comic Sans MS" w:cs="Comic Sans MS"/>
                          <w:sz w:val="22"/>
                          <w:szCs w:val="22"/>
                        </w:rPr>
                        <w:t xml:space="preserve">proposal written /accepted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-914400</wp:posOffset>
                </wp:positionV>
                <wp:extent cx="2284730" cy="675640"/>
                <wp:wrapNone/>
                <wp:docPr id="10" name="Oval 2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6756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  <w:t xml:space="preserve">Starting point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7.2pt" tIns="3.6pt" rIns="7.2pt" bIns="3.6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style="position:absolute;margin-left:344.9pt;margin-top:-72pt;width:179.9pt;height:53.2pt;z-index:25166028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  <w:t xml:space="preserve">Starting point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-800100</wp:posOffset>
                </wp:positionV>
                <wp:extent cx="3543300" cy="916305"/>
                <wp:wrapNone/>
                <wp:docPr id="11" name="AutoShape 1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1630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Expectations of PGCE students</w:t>
                            </w:r>
                          </w:p>
                          <w:p>
                            <w:pPr>
                              <w:pStyle w:val="ListParagraph"/>
                              <w:spacing/>
                              <w:ind w:left="776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for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 Diagnostic Placement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Student Survey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  <w:t xml:space="preserve">Further ideas / comments / suggestions on lit. 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-53.85pt;margin-top:-63pt;width:279pt;height:72.15pt;z-index:251652096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Expectations of PGCE students</w:t>
                      </w:r>
                    </w:p>
                    <w:p>
                      <w:pPr>
                        <w:pStyle w:val="ListParagraph"/>
                        <w:spacing/>
                        <w:ind w:left="776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for</w:t>
                      </w: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 Diagnostic Placement </w:t>
                      </w: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  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Student Survey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  <w:t xml:space="preserve">Further ideas / comments / suggestions on lit.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3143885</wp:posOffset>
                </wp:positionV>
                <wp:extent cx="4712335" cy="679450"/>
                <wp:wrapNone/>
                <wp:docPr id="12" name="Oval 4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679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32"/>
                                <w:szCs w:val="32"/>
                              </w:rPr>
                              <w:t xml:space="preserve">Literature Review - Key points 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7.2pt" tIns="3.6pt" rIns="7.2pt" bIns="3.6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style="position:absolute;margin-left:225.15pt;margin-top:247.55pt;width:371.05pt;height:53.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32"/>
                          <w:szCs w:val="32"/>
                        </w:rPr>
                        <w:t xml:space="preserve">Literature Review - Key points 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5782310</wp:posOffset>
                </wp:positionV>
                <wp:extent cx="2537460" cy="391160"/>
                <wp:wrapNone/>
                <wp:docPr id="13" name="AutoShape 4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9116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René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Koglbauer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, Debbie 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Redshaw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TEAN, 20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 xml:space="preserve">th</w:t>
                            </w:r>
                            <w:r>
                              <w:rPr>
                                <w:rFonts w:ascii="Comic Sans MS" w:hAnsi="Comic Sans MS" w:eastAsia="Comic Sans MS" w:cs="Comic Sans MS"/>
                                <w:sz w:val="18"/>
                                <w:szCs w:val="18"/>
                              </w:rPr>
                              <w:t xml:space="preserve"> May 2011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1.417pt" tIns="1.417pt" rIns="1.417pt" bIns="1.417pt" idx="2" numCol="1" spcCol="0" rtlCol="0" fromWordArt="0" anchor="t" anchorCtr="0" forceAA="0" compatLnSpc="1">
                        <a:prstTxWarp prst="textNoShape">
                          <wps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type="#_x0000_t176" style="position:absolute;margin-left:-53.85pt;margin-top:455.3pt;width:199.8pt;height:30.8pt;z-index:251663360;;v-text-anchor:top;mso-wrap-distance-left:9pt;mso-wrap-distance-top:0pt;mso-wrap-distance-right:9pt;mso-wrap-distance-bottom:0pt;" filled="t" fillcolor="#FFFFFF" strokecolor="#000000" strokeweight="1pt">
                <v:stroke dashstyle="solid" linestyle="single" joinstyle="miter" endcap="flat" opacity="65536f" color2="#000000"/>
                <v:fill opacity="65536f" color2="#FFFFFF"/>
                <v:textbox style="">
                  <w:txbxContent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René </w:t>
                      </w: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Koglbauer</w:t>
                      </w: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, Debbie </w:t>
                      </w: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Redshaw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TEAN, 20</w:t>
                      </w: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  <w:vertAlign w:val="superscript"/>
                        </w:rPr>
                        <w:t xml:space="preserve">th</w:t>
                      </w:r>
                      <w:r>
                        <w:rPr>
                          <w:rFonts w:ascii="Comic Sans MS" w:hAnsi="Comic Sans MS" w:eastAsia="Comic Sans MS" w:cs="Comic Sans MS"/>
                          <w:sz w:val="18"/>
                          <w:szCs w:val="18"/>
                        </w:rPr>
                        <w:t xml:space="preserve"> May 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xmlns:w="http://schemas.openxmlformats.org/wordprocessingml/2006/main">
          <v:group xmlns:o="urn:schemas-microsoft-com:office:office" xmlns:v="urn:schemas-microsoft-com:vml" id="Canvas 15" o:spid="_x0000_s1039" editas="canvas" style="width:524.8pt;height:315pt;mso-position-horizontal-relative:char;mso-position-vertical-relative:line" coordsize="66649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66649;height:40005;visibility:visible;mso-wrap-style:square">
              <v:fill o:detectmouseclick="t"/>
              <v:path o:connecttype="none"/>
            </v:shape>
            <v:oval id="_x0000_i1025" o:spid="_x0000_s1041" style="position:absolute;left:28594;top:14192;width:28340;height:17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AtsAA&#10;AADaAAAADwAAAGRycy9kb3ducmV2LnhtbERPTYvCMBC9L/gfwgje1lQFka5RZFVQPNkKu8ehmW1L&#10;m0ltolZ/vRGEPQ2P9znzZWdqcaXWlZYVjIYRCOLM6pJzBad0+zkD4TyyxtoyKbiTg+Wi9zHHWNsb&#10;H+ma+FyEEHYxKii8b2IpXVaQQTe0DXHg/mxr0AfY5lK3eAvhppbjKJpKgyWHhgIb+i4oq5KLUXA+&#10;mN/x6kc/KpMe1vvmXJ2SyUapQb9bfYHw1Pl/8du902E+vF55X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UAtsAAAADaAAAADwAAAAAAAAAAAAAAAACYAgAAZHJzL2Rvd25y&#10;ZXYueG1sUEsFBgAAAAAEAAQA9QAAAIUDAAAAAA==&#10;" fillcolor="#bfbfbf [2412]">
              <v:textbox>
                <w:txbxContent>
                  <w:p w:rsidR="00B42064" w:rsidRPr="000672DA" w:rsidRDefault="00B42064" w:rsidP="00967157">
                    <w:pPr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r w:rsidRPr="000672DA">
                      <w:rPr>
                        <w:rFonts w:ascii="Comic Sans MS" w:hAnsi="Comic Sans MS"/>
                        <w:sz w:val="44"/>
                        <w:szCs w:val="44"/>
                      </w:rPr>
                      <w:t>Expectations</w:t>
                    </w:r>
                  </w:p>
                  <w:p w:rsidR="00B42064" w:rsidRPr="000672DA" w:rsidRDefault="00B42064" w:rsidP="00967157">
                    <w:pPr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 w:rsidRPr="000672DA">
                      <w:rPr>
                        <w:rFonts w:ascii="Comic Sans MS" w:hAnsi="Comic Sans MS"/>
                        <w:sz w:val="44"/>
                        <w:szCs w:val="44"/>
                      </w:rPr>
                      <w:t>for</w:t>
                    </w:r>
                    <w:proofErr w:type="gramEnd"/>
                    <w:r w:rsidRPr="000672DA">
                      <w:rPr>
                        <w:rFonts w:ascii="Comic Sans MS" w:hAnsi="Comic Sans MS"/>
                        <w:sz w:val="44"/>
                        <w:szCs w:val="44"/>
                      </w:rPr>
                      <w:t xml:space="preserve"> PGCE students</w:t>
                    </w:r>
                  </w:p>
                  <w:p w:rsidR="00B42064" w:rsidRPr="00950898" w:rsidRDefault="00B42064" w:rsidP="00967157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i1026" o:spid="_x0000_s1042" style="position:absolute;left:44145;top:3067;width:22517;height:1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<v:textbox>
                <w:txbxContent>
                  <w:p w:rsidR="00B42064" w:rsidRDefault="00B42064" w:rsidP="00967157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Expected Outcomes / Aims</w:t>
                    </w:r>
                  </w:p>
                  <w:p w:rsidR="00B42064" w:rsidRDefault="00B42064" w:rsidP="00967157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B42064" w:rsidRPr="00950898" w:rsidRDefault="00B42064" w:rsidP="00967157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B42064" w:rsidRPr="00950898" w:rsidRDefault="00B42064" w:rsidP="00967157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i1027" o:spid="_x0000_s1043" style="position:absolute;left:21151;top:3067;width:16568;height:7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<v:textbox>
                <w:txbxContent>
                  <w:p w:rsidR="00B42064" w:rsidRPr="00950898" w:rsidRDefault="00B42064" w:rsidP="00967157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Next 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steps ...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oval>
            <v:oval id="_x0000_i1028" o:spid="_x0000_s1044" style="position:absolute;left:9334;top:25927;width:24555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>
                <w:txbxContent>
                  <w:p w:rsidR="00B42064" w:rsidRPr="00117E6E" w:rsidRDefault="00B42064" w:rsidP="00117E6E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117E6E">
                      <w:rPr>
                        <w:rFonts w:ascii="Comic Sans MS" w:hAnsi="Comic Sans MS"/>
                        <w:sz w:val="28"/>
                        <w:szCs w:val="28"/>
                      </w:rPr>
                      <w:t>What has been done so far?</w:t>
                    </w:r>
                  </w:p>
                  <w:p w:rsidR="00B42064" w:rsidRPr="00950898" w:rsidRDefault="00B42064" w:rsidP="00117E6E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</w:txbxContent>
              </v:textbox>
            </v:oval>
            <w10:anchorlock xmlns:w10="urn:schemas-microsoft-com:office:word"/>
          </v:group>
        </w:pict>
      </w:r>
    </w:p>
    <w:sectPr>
      <w:type w:val="nextPage"/>
      <w:pgSz w:w="16838" w:h="11906" w:orient="landscape"/>
      <w:pgMar w:top="1797" w:right="1440" w:bottom="1797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charset w:val="02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omic Sans MS">
    <w:charset w:val="0"/>
    <w:family w:val="script"/>
    <w:pitch w:val="variable"/>
    <w:sig w:usb0="00000287" w:usb1="00000000" w:usb2="00000000" w:usb3="00000000" w:csb0="0000009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Calibri">
    <w:charset w:val="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0"/>
      <w:numFmt w:val="bullet"/>
      <w:suff w:val="tab"/>
      <w:lvlText w:val="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3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4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5">
    <w:lvl w:ilvl="0">
      <w:start w:val="0"/>
      <w:numFmt w:val="bullet"/>
      <w:suff w:val="tab"/>
      <w:lvlText w:val="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7"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8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9"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eastAsia="Wingdings" w:cs="Wingdings" w:hint="default"/>
      </w:rPr>
    </w:lvl>
  </w:abstractNum>
  <w:abstractNum w:abstractNumId="10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1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2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3">
    <w:lvl w:ilvl="0">
      <w:start w:val="0"/>
      <w:numFmt w:val="bullet"/>
      <w:suff w:val="tab"/>
      <w:lvlText w:val="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5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6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7">
    <w:lvl w:ilvl="0">
      <w:start w:val="0"/>
      <w:numFmt w:val="bullet"/>
      <w:suff w:val="tab"/>
      <w:lvlText w:val="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8">
    <w:lvl w:ilvl="0">
      <w:start w:val="1"/>
      <w:numFmt w:val="bullet"/>
      <w:suff w:val="tab"/>
      <w:lvlText w:val=""/>
      <w:pPr>
        <w:spacing/>
        <w:ind w:left="77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9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1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93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5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7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9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81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36" w:hanging="360"/>
      </w:pPr>
      <w:rPr>
        <w:rFonts w:ascii="Wingdings" w:hAnsi="Wingdings" w:eastAsia="Wingdings" w:cs="Wingdings" w:hint="default"/>
      </w:rPr>
    </w:lvl>
  </w:abstractNum>
  <w:abstractNum w:abstractNumId="19">
    <w:lvl w:ilvl="0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cs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0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21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2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23">
    <w:lvl w:ilvl="0">
      <w:start w:val="1"/>
      <w:numFmt w:val="lowerLetter"/>
      <w:suff w:val="tab"/>
      <w:lvlText w:val="%1)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5"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7">
    <w:lvl w:ilvl="0">
      <w:start w:val="1"/>
      <w:numFmt w:val="lowerLetter"/>
      <w:suff w:val="tab"/>
      <w:lvlText w:val="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80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BalloonTex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DCBE-5FD5-4F15-8160-CB59F50E08E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2</Words>
  <Characters>13</Characters>
  <Application>Microsoft Office Word</Application>
  <DocSecurity>0</DocSecurity>
  <Lines>1</Lines>
  <Paragraphs>1</Paragraphs>
  <Company>Research Machines plc.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 Koglbauer and Debbie Redshaw Chart</dc:title>
  <dc:creator>Mr Services User</dc:creator>
  <cp:lastModifiedBy>mobile-rk</cp:lastModifiedBy>
  <cp:lastPrinted>2011-05-19T07:00:00Z</cp:lastPrinted>
  <cp:revision>4</cp:revision>
  <dcterms:created xsi:type="dcterms:W3CDTF">2011-05-18T22:29:00Z</dcterms:created>
  <dcterms:modified xsi:type="dcterms:W3CDTF">2011-11-09T11:06:57.973Z</dcterms:modified>
</cp:coreProperties>
</file>