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A90E" w14:textId="77777777" w:rsidR="005735B4" w:rsidRDefault="005735B4" w:rsidP="005735B4">
      <w:pPr>
        <w:jc w:val="center"/>
        <w:outlineLvl w:val="2"/>
        <w:rPr>
          <w:rFonts w:eastAsia="Times New Roman" w:cstheme="minorHAnsi"/>
          <w:b/>
          <w:color w:val="000000"/>
          <w:lang w:val="en"/>
        </w:rPr>
      </w:pPr>
      <w:r w:rsidRPr="005735B4">
        <w:rPr>
          <w:rFonts w:eastAsia="Times New Roman" w:cstheme="minorHAnsi"/>
          <w:b/>
          <w:color w:val="000000"/>
          <w:lang w:val="en"/>
        </w:rPr>
        <w:t>General Data Protection Regulation Consent Checklist</w:t>
      </w:r>
    </w:p>
    <w:p w14:paraId="1BED2EA4" w14:textId="77777777" w:rsidR="005735B4" w:rsidRDefault="005735B4" w:rsidP="005735B4">
      <w:pPr>
        <w:outlineLvl w:val="2"/>
        <w:rPr>
          <w:rFonts w:eastAsia="Times New Roman" w:cstheme="minorHAnsi"/>
          <w:color w:val="000000"/>
          <w:sz w:val="18"/>
          <w:lang w:val="en"/>
        </w:rPr>
      </w:pPr>
    </w:p>
    <w:p w14:paraId="18D69154" w14:textId="77777777" w:rsidR="00E22688" w:rsidRDefault="006212E0" w:rsidP="005735B4">
      <w:pPr>
        <w:outlineLvl w:val="2"/>
        <w:rPr>
          <w:rFonts w:eastAsia="Times New Roman" w:cstheme="minorHAnsi"/>
          <w:color w:val="000000"/>
          <w:szCs w:val="28"/>
          <w:lang w:val="en"/>
        </w:rPr>
      </w:pPr>
      <w:r w:rsidRPr="00E22688">
        <w:rPr>
          <w:rFonts w:eastAsia="Times New Roman" w:cstheme="minorHAnsi"/>
          <w:color w:val="000000"/>
          <w:szCs w:val="28"/>
          <w:lang w:val="en"/>
        </w:rPr>
        <w:t>Information available</w:t>
      </w:r>
      <w:r w:rsidR="005735B4" w:rsidRPr="00E22688">
        <w:rPr>
          <w:rFonts w:eastAsia="Times New Roman" w:cstheme="minorHAnsi"/>
          <w:color w:val="000000"/>
          <w:szCs w:val="28"/>
          <w:lang w:val="en"/>
        </w:rPr>
        <w:t xml:space="preserve"> from</w:t>
      </w:r>
      <w:r w:rsidRPr="00E22688">
        <w:rPr>
          <w:rFonts w:eastAsia="Times New Roman" w:cstheme="minorHAnsi"/>
          <w:color w:val="000000"/>
          <w:szCs w:val="28"/>
          <w:lang w:val="en"/>
        </w:rPr>
        <w:t xml:space="preserve"> the Information</w:t>
      </w:r>
      <w:r w:rsidR="00220BD2" w:rsidRPr="00E22688">
        <w:rPr>
          <w:rFonts w:eastAsia="Times New Roman" w:cstheme="minorHAnsi"/>
          <w:color w:val="000000"/>
          <w:szCs w:val="28"/>
          <w:lang w:val="en"/>
        </w:rPr>
        <w:t xml:space="preserve"> Commissioner’s Office: </w:t>
      </w:r>
    </w:p>
    <w:p w14:paraId="75231806" w14:textId="00EBE838" w:rsidR="005735B4" w:rsidRPr="00E22688" w:rsidRDefault="00E22688" w:rsidP="005735B4">
      <w:pPr>
        <w:outlineLvl w:val="2"/>
        <w:rPr>
          <w:rFonts w:eastAsia="Times New Roman" w:cstheme="minorHAnsi"/>
          <w:color w:val="000000"/>
          <w:sz w:val="28"/>
          <w:szCs w:val="28"/>
          <w:lang w:val="en"/>
        </w:rPr>
      </w:pPr>
      <w:hyperlink r:id="rId5" w:history="1">
        <w:r w:rsidRPr="00412252">
          <w:rPr>
            <w:rStyle w:val="Hyperlink"/>
            <w:rFonts w:eastAsia="Times New Roman" w:cstheme="minorHAnsi"/>
            <w:szCs w:val="28"/>
            <w:lang w:val="en"/>
          </w:rPr>
          <w:t>https://ico.org.uk/for-organisations/guide-to-the-general-data-protection-regulation-gdpr/lawful-basis-for-processing/consent/</w:t>
        </w:r>
      </w:hyperlink>
      <w:r w:rsidR="005735B4" w:rsidRPr="00E22688">
        <w:rPr>
          <w:rFonts w:eastAsia="Times New Roman" w:cstheme="minorHAnsi"/>
          <w:color w:val="000000"/>
          <w:sz w:val="28"/>
          <w:szCs w:val="28"/>
          <w:lang w:val="en"/>
        </w:rPr>
        <w:t xml:space="preserve"> </w:t>
      </w:r>
    </w:p>
    <w:p w14:paraId="5E5DA533" w14:textId="77777777" w:rsidR="005735B4" w:rsidRDefault="005735B4" w:rsidP="005735B4">
      <w:pPr>
        <w:outlineLvl w:val="2"/>
        <w:rPr>
          <w:rFonts w:eastAsia="Times New Roman" w:cstheme="minorHAnsi"/>
          <w:b/>
          <w:color w:val="000000"/>
          <w:lang w:val="en"/>
        </w:rPr>
      </w:pPr>
    </w:p>
    <w:p w14:paraId="49977BA8" w14:textId="77777777" w:rsidR="005735B4" w:rsidRPr="005735B4" w:rsidRDefault="005735B4" w:rsidP="005735B4">
      <w:pPr>
        <w:outlineLvl w:val="2"/>
        <w:rPr>
          <w:rFonts w:eastAsia="Times New Roman" w:cstheme="minorHAnsi"/>
          <w:b/>
          <w:color w:val="000000"/>
          <w:lang w:val="en"/>
        </w:rPr>
      </w:pPr>
      <w:r w:rsidRPr="005735B4">
        <w:rPr>
          <w:rFonts w:eastAsia="Times New Roman" w:cstheme="minorHAnsi"/>
          <w:b/>
          <w:color w:val="000000"/>
          <w:lang w:val="en"/>
        </w:rPr>
        <w:t>At a glance</w:t>
      </w:r>
    </w:p>
    <w:p w14:paraId="536FA59C" w14:textId="77777777" w:rsidR="005735B4" w:rsidRDefault="005735B4" w:rsidP="00CE11DE">
      <w:pPr>
        <w:pStyle w:val="ListParagraph"/>
        <w:numPr>
          <w:ilvl w:val="0"/>
          <w:numId w:val="2"/>
        </w:numPr>
        <w:ind w:left="357" w:hanging="357"/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 xml:space="preserve">The GDPR sets a high standard for consent. </w:t>
      </w:r>
    </w:p>
    <w:p w14:paraId="7D3139BE" w14:textId="77777777" w:rsidR="005735B4" w:rsidRPr="005735B4" w:rsidRDefault="005735B4" w:rsidP="00CE11DE">
      <w:pPr>
        <w:pStyle w:val="ListParagraph"/>
        <w:numPr>
          <w:ilvl w:val="0"/>
          <w:numId w:val="2"/>
        </w:numPr>
        <w:ind w:left="357" w:hanging="357"/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>Consent means offering individuals real choice and control. Genuine consent should put individuals in charge, build customer trust and engagement, and enhance your reputation.</w:t>
      </w:r>
    </w:p>
    <w:p w14:paraId="648139B0" w14:textId="77777777" w:rsidR="005735B4" w:rsidRDefault="005735B4" w:rsidP="00CE11DE">
      <w:pPr>
        <w:pStyle w:val="ListParagraph"/>
        <w:numPr>
          <w:ilvl w:val="0"/>
          <w:numId w:val="2"/>
        </w:numPr>
        <w:ind w:left="357" w:hanging="357"/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 xml:space="preserve">Consent requires a positive opt-in. </w:t>
      </w:r>
    </w:p>
    <w:p w14:paraId="4C8F04F4" w14:textId="77777777" w:rsidR="005735B4" w:rsidRPr="005735B4" w:rsidRDefault="005735B4" w:rsidP="00CE11DE">
      <w:pPr>
        <w:pStyle w:val="ListParagraph"/>
        <w:numPr>
          <w:ilvl w:val="0"/>
          <w:numId w:val="2"/>
        </w:numPr>
        <w:ind w:left="357" w:hanging="357"/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>Explicit consent requires a very clear and specific statement of consent.</w:t>
      </w:r>
    </w:p>
    <w:p w14:paraId="25BDF3B0" w14:textId="77777777" w:rsidR="005735B4" w:rsidRPr="005735B4" w:rsidRDefault="005735B4" w:rsidP="00CE11DE">
      <w:pPr>
        <w:pStyle w:val="ListParagraph"/>
        <w:numPr>
          <w:ilvl w:val="0"/>
          <w:numId w:val="2"/>
        </w:numPr>
        <w:ind w:left="357" w:hanging="357"/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>Keep your consent requests separate from other terms and conditions.</w:t>
      </w:r>
    </w:p>
    <w:p w14:paraId="033A61C3" w14:textId="77777777" w:rsidR="005735B4" w:rsidRPr="005735B4" w:rsidRDefault="005735B4" w:rsidP="00CE11DE">
      <w:pPr>
        <w:pStyle w:val="ListParagraph"/>
        <w:numPr>
          <w:ilvl w:val="0"/>
          <w:numId w:val="2"/>
        </w:numPr>
        <w:ind w:left="357" w:hanging="357"/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>Be specific and ‘granular’ so that you get separate consent for separate things. Vague or blanket consent is not enough.</w:t>
      </w:r>
    </w:p>
    <w:p w14:paraId="71C51981" w14:textId="77777777" w:rsidR="005735B4" w:rsidRPr="005735B4" w:rsidRDefault="005735B4" w:rsidP="00CE11DE">
      <w:pPr>
        <w:pStyle w:val="ListParagraph"/>
        <w:numPr>
          <w:ilvl w:val="0"/>
          <w:numId w:val="2"/>
        </w:numPr>
        <w:ind w:left="357" w:hanging="357"/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>Be clear and concise.</w:t>
      </w:r>
    </w:p>
    <w:p w14:paraId="31705564" w14:textId="77777777" w:rsidR="005735B4" w:rsidRPr="005735B4" w:rsidRDefault="005735B4" w:rsidP="00CE11DE">
      <w:pPr>
        <w:pStyle w:val="ListParagraph"/>
        <w:numPr>
          <w:ilvl w:val="0"/>
          <w:numId w:val="2"/>
        </w:numPr>
        <w:ind w:left="357" w:hanging="357"/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>Name any third party controllers who will rely on the consent.</w:t>
      </w:r>
    </w:p>
    <w:p w14:paraId="3D889A8C" w14:textId="77777777" w:rsidR="005735B4" w:rsidRPr="005735B4" w:rsidRDefault="005735B4" w:rsidP="00CE11DE">
      <w:pPr>
        <w:pStyle w:val="ListParagraph"/>
        <w:numPr>
          <w:ilvl w:val="0"/>
          <w:numId w:val="2"/>
        </w:numPr>
        <w:ind w:left="357" w:hanging="357"/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>Make it easy for people to withdraw consent and tell them how.</w:t>
      </w:r>
    </w:p>
    <w:p w14:paraId="3C9DAFB2" w14:textId="77777777" w:rsidR="005735B4" w:rsidRPr="005735B4" w:rsidRDefault="005735B4" w:rsidP="00CE11DE">
      <w:pPr>
        <w:pStyle w:val="ListParagraph"/>
        <w:numPr>
          <w:ilvl w:val="0"/>
          <w:numId w:val="2"/>
        </w:numPr>
        <w:ind w:left="357" w:hanging="357"/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>Keep evidence of consent – who, when, how, and what you told people.</w:t>
      </w:r>
    </w:p>
    <w:p w14:paraId="086A1A68" w14:textId="77777777" w:rsidR="005735B4" w:rsidRPr="005735B4" w:rsidRDefault="005735B4" w:rsidP="00CE11DE">
      <w:pPr>
        <w:pStyle w:val="ListParagraph"/>
        <w:numPr>
          <w:ilvl w:val="0"/>
          <w:numId w:val="2"/>
        </w:numPr>
        <w:ind w:left="357" w:hanging="357"/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>Keep consent under review, and refresh it if anything changes.</w:t>
      </w:r>
    </w:p>
    <w:p w14:paraId="6983B9FB" w14:textId="77777777" w:rsidR="005735B4" w:rsidRPr="005735B4" w:rsidRDefault="005735B4" w:rsidP="00CE11DE">
      <w:pPr>
        <w:pStyle w:val="ListParagraph"/>
        <w:numPr>
          <w:ilvl w:val="0"/>
          <w:numId w:val="2"/>
        </w:numPr>
        <w:ind w:left="357" w:hanging="357"/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>Avoid making consent to processing a precondition of a service.</w:t>
      </w:r>
    </w:p>
    <w:p w14:paraId="7D82C6D8" w14:textId="77777777" w:rsidR="005735B4" w:rsidRPr="005735B4" w:rsidRDefault="005735B4" w:rsidP="00CE11DE">
      <w:pPr>
        <w:pStyle w:val="ListParagraph"/>
        <w:numPr>
          <w:ilvl w:val="0"/>
          <w:numId w:val="2"/>
        </w:numPr>
        <w:ind w:left="357" w:hanging="357"/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>Public authorities and employers will need to take extra care to show that consent is freely given, and should avoid over-reliance on consent.</w:t>
      </w:r>
    </w:p>
    <w:p w14:paraId="1D13458E" w14:textId="77777777" w:rsidR="00CE11DE" w:rsidRDefault="00CE11DE" w:rsidP="005735B4">
      <w:pPr>
        <w:jc w:val="center"/>
        <w:outlineLvl w:val="2"/>
        <w:rPr>
          <w:rFonts w:eastAsia="Times New Roman" w:cstheme="minorHAnsi"/>
          <w:b/>
          <w:color w:val="000000"/>
          <w:sz w:val="24"/>
          <w:lang w:val="en"/>
        </w:rPr>
      </w:pPr>
    </w:p>
    <w:p w14:paraId="07602072" w14:textId="77777777" w:rsidR="005735B4" w:rsidRPr="005735B4" w:rsidRDefault="005735B4" w:rsidP="005735B4">
      <w:pPr>
        <w:jc w:val="center"/>
        <w:outlineLvl w:val="2"/>
        <w:rPr>
          <w:rFonts w:eastAsia="Times New Roman" w:cstheme="minorHAnsi"/>
          <w:b/>
          <w:color w:val="000000"/>
          <w:sz w:val="24"/>
          <w:lang w:val="en"/>
        </w:rPr>
      </w:pPr>
      <w:r w:rsidRPr="005735B4">
        <w:rPr>
          <w:rFonts w:eastAsia="Times New Roman" w:cstheme="minorHAnsi"/>
          <w:b/>
          <w:color w:val="000000"/>
          <w:sz w:val="24"/>
          <w:lang w:val="en"/>
        </w:rPr>
        <w:t>Checklists</w:t>
      </w:r>
    </w:p>
    <w:p w14:paraId="0DC97050" w14:textId="77777777" w:rsidR="005735B4" w:rsidRPr="005735B4" w:rsidRDefault="005735B4" w:rsidP="005735B4">
      <w:pPr>
        <w:outlineLvl w:val="3"/>
        <w:rPr>
          <w:rFonts w:eastAsia="Times New Roman" w:cstheme="minorHAnsi"/>
          <w:b/>
          <w:color w:val="000000"/>
          <w:sz w:val="24"/>
          <w:lang w:val="en"/>
        </w:rPr>
      </w:pPr>
      <w:r w:rsidRPr="005735B4">
        <w:rPr>
          <w:rFonts w:eastAsia="Times New Roman" w:cstheme="minorHAnsi"/>
          <w:b/>
          <w:color w:val="000000"/>
          <w:sz w:val="24"/>
          <w:lang w:val="en"/>
        </w:rPr>
        <w:t>Asking for consent</w:t>
      </w:r>
    </w:p>
    <w:p w14:paraId="03E657B3" w14:textId="77777777" w:rsidR="005735B4" w:rsidRPr="005735B4" w:rsidRDefault="005735B4" w:rsidP="005735B4">
      <w:pPr>
        <w:pStyle w:val="ListParagraph"/>
        <w:numPr>
          <w:ilvl w:val="0"/>
          <w:numId w:val="4"/>
        </w:numPr>
        <w:outlineLvl w:val="3"/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>We have checked that consent is the most appropriate lawful basis for processing.</w:t>
      </w:r>
    </w:p>
    <w:p w14:paraId="36BF2F11" w14:textId="77777777" w:rsidR="005735B4" w:rsidRPr="005735B4" w:rsidRDefault="005735B4" w:rsidP="005735B4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>We have made the request for consent prominent and separate from our terms and conditions.</w:t>
      </w:r>
    </w:p>
    <w:p w14:paraId="5F7D6C20" w14:textId="77777777" w:rsidR="005735B4" w:rsidRPr="005735B4" w:rsidRDefault="00A65D8B" w:rsidP="005735B4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  <w:lang w:val="en"/>
        </w:rPr>
      </w:pPr>
      <w:r>
        <w:rPr>
          <w:rFonts w:eastAsia="Times New Roman" w:cstheme="minorHAnsi"/>
          <w:color w:val="000000"/>
          <w:lang w:val="en"/>
        </w:rPr>
        <w:t>We ask people to</w:t>
      </w:r>
      <w:r w:rsidR="005735B4" w:rsidRPr="005735B4">
        <w:rPr>
          <w:rFonts w:eastAsia="Times New Roman" w:cstheme="minorHAnsi"/>
          <w:color w:val="000000"/>
          <w:lang w:val="en"/>
        </w:rPr>
        <w:t xml:space="preserve"> opt in.</w:t>
      </w:r>
    </w:p>
    <w:p w14:paraId="69A9F65E" w14:textId="77777777" w:rsidR="005735B4" w:rsidRPr="005735B4" w:rsidRDefault="005735B4" w:rsidP="005735B4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 xml:space="preserve">We </w:t>
      </w:r>
      <w:r w:rsidR="00A65D8B" w:rsidRPr="005735B4">
        <w:rPr>
          <w:rFonts w:eastAsia="Times New Roman" w:cstheme="minorHAnsi"/>
          <w:color w:val="000000"/>
          <w:lang w:val="en"/>
        </w:rPr>
        <w:t>do not</w:t>
      </w:r>
      <w:r w:rsidRPr="005735B4">
        <w:rPr>
          <w:rFonts w:eastAsia="Times New Roman" w:cstheme="minorHAnsi"/>
          <w:color w:val="000000"/>
          <w:lang w:val="en"/>
        </w:rPr>
        <w:t xml:space="preserve"> use pre-ticked boxes or any other type of default consent.</w:t>
      </w:r>
    </w:p>
    <w:p w14:paraId="385D5FD2" w14:textId="77777777" w:rsidR="005735B4" w:rsidRPr="005735B4" w:rsidRDefault="005735B4" w:rsidP="005735B4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>We use clear, plain language that is easy to understand.</w:t>
      </w:r>
    </w:p>
    <w:p w14:paraId="7131D5CD" w14:textId="77777777" w:rsidR="005735B4" w:rsidRPr="005735B4" w:rsidRDefault="005735B4" w:rsidP="005735B4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 xml:space="preserve">We specify why we want the data and what </w:t>
      </w:r>
      <w:r w:rsidR="00A65D8B" w:rsidRPr="005735B4">
        <w:rPr>
          <w:rFonts w:eastAsia="Times New Roman" w:cstheme="minorHAnsi"/>
          <w:color w:val="000000"/>
          <w:lang w:val="en"/>
        </w:rPr>
        <w:t>we are</w:t>
      </w:r>
      <w:r w:rsidRPr="005735B4">
        <w:rPr>
          <w:rFonts w:eastAsia="Times New Roman" w:cstheme="minorHAnsi"/>
          <w:color w:val="000000"/>
          <w:lang w:val="en"/>
        </w:rPr>
        <w:t xml:space="preserve"> going to do with it.</w:t>
      </w:r>
    </w:p>
    <w:p w14:paraId="1FE40380" w14:textId="77777777" w:rsidR="005735B4" w:rsidRPr="005735B4" w:rsidRDefault="005735B4" w:rsidP="005735B4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>We give individual (</w:t>
      </w:r>
      <w:r w:rsidRPr="005735B4">
        <w:rPr>
          <w:rFonts w:ascii="Calibri" w:eastAsia="Times New Roman" w:hAnsi="Calibri" w:cs="Calibri"/>
          <w:color w:val="000000"/>
          <w:lang w:val="en"/>
        </w:rPr>
        <w:t>‘</w:t>
      </w:r>
      <w:r w:rsidRPr="005735B4">
        <w:rPr>
          <w:rFonts w:eastAsia="Times New Roman" w:cstheme="minorHAnsi"/>
          <w:color w:val="000000"/>
          <w:lang w:val="en"/>
        </w:rPr>
        <w:t>granular</w:t>
      </w:r>
      <w:r w:rsidRPr="005735B4">
        <w:rPr>
          <w:rFonts w:ascii="Calibri" w:eastAsia="Times New Roman" w:hAnsi="Calibri" w:cs="Calibri"/>
          <w:color w:val="000000"/>
          <w:lang w:val="en"/>
        </w:rPr>
        <w:t>’</w:t>
      </w:r>
      <w:r w:rsidRPr="005735B4">
        <w:rPr>
          <w:rFonts w:eastAsia="Times New Roman" w:cstheme="minorHAnsi"/>
          <w:color w:val="000000"/>
          <w:lang w:val="en"/>
        </w:rPr>
        <w:t>) options to consent separately to different purposes and types of processing.</w:t>
      </w:r>
    </w:p>
    <w:p w14:paraId="0966F9E1" w14:textId="77777777" w:rsidR="005735B4" w:rsidRPr="005735B4" w:rsidRDefault="005735B4" w:rsidP="005735B4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 xml:space="preserve">We name our </w:t>
      </w:r>
      <w:proofErr w:type="spellStart"/>
      <w:r w:rsidRPr="005735B4">
        <w:rPr>
          <w:rFonts w:eastAsia="Times New Roman" w:cstheme="minorHAnsi"/>
          <w:color w:val="000000"/>
          <w:lang w:val="en"/>
        </w:rPr>
        <w:t>organisation</w:t>
      </w:r>
      <w:proofErr w:type="spellEnd"/>
      <w:r w:rsidRPr="005735B4">
        <w:rPr>
          <w:rFonts w:eastAsia="Times New Roman" w:cstheme="minorHAnsi"/>
          <w:color w:val="000000"/>
          <w:lang w:val="en"/>
        </w:rPr>
        <w:t xml:space="preserve"> and any third party controllers who will be relying on the consent.</w:t>
      </w:r>
    </w:p>
    <w:p w14:paraId="4E8CDEF1" w14:textId="77777777" w:rsidR="005735B4" w:rsidRPr="005735B4" w:rsidRDefault="005735B4" w:rsidP="005735B4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>We tell individuals they can withdraw their consent.</w:t>
      </w:r>
    </w:p>
    <w:p w14:paraId="0D5191DB" w14:textId="77777777" w:rsidR="005735B4" w:rsidRPr="005735B4" w:rsidRDefault="005735B4" w:rsidP="005735B4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>We ensure that individuals can refuse to consent without detriment.</w:t>
      </w:r>
    </w:p>
    <w:p w14:paraId="0D552AEB" w14:textId="77777777" w:rsidR="005735B4" w:rsidRPr="005735B4" w:rsidRDefault="005735B4" w:rsidP="005735B4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>We avoid making consent a precondition of a service.</w:t>
      </w:r>
    </w:p>
    <w:p w14:paraId="175C413B" w14:textId="77777777" w:rsidR="005735B4" w:rsidRPr="005735B4" w:rsidRDefault="005735B4" w:rsidP="005735B4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>If we offer online services directly to children, we only seek consent if we have age-verification measures (and parental-consent measures for younger children) in place.</w:t>
      </w:r>
    </w:p>
    <w:p w14:paraId="493F2F54" w14:textId="77777777" w:rsidR="005735B4" w:rsidRDefault="005735B4" w:rsidP="005735B4">
      <w:pPr>
        <w:outlineLvl w:val="3"/>
        <w:rPr>
          <w:rFonts w:eastAsia="Times New Roman" w:cstheme="minorHAnsi"/>
          <w:b/>
          <w:color w:val="000000"/>
          <w:lang w:val="en"/>
        </w:rPr>
      </w:pPr>
    </w:p>
    <w:p w14:paraId="18077A84" w14:textId="77777777" w:rsidR="005735B4" w:rsidRPr="005735B4" w:rsidRDefault="005735B4" w:rsidP="005735B4">
      <w:pPr>
        <w:outlineLvl w:val="3"/>
        <w:rPr>
          <w:rFonts w:eastAsia="Times New Roman" w:cstheme="minorHAnsi"/>
          <w:b/>
          <w:color w:val="000000"/>
          <w:lang w:val="en"/>
        </w:rPr>
      </w:pPr>
      <w:r w:rsidRPr="005735B4">
        <w:rPr>
          <w:rFonts w:eastAsia="Times New Roman" w:cstheme="minorHAnsi"/>
          <w:b/>
          <w:color w:val="000000"/>
          <w:lang w:val="en"/>
        </w:rPr>
        <w:t>Recording consent</w:t>
      </w:r>
    </w:p>
    <w:p w14:paraId="71F3DAFD" w14:textId="77777777" w:rsidR="005735B4" w:rsidRPr="005735B4" w:rsidRDefault="005735B4" w:rsidP="005735B4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t>We keep a record of when and how we got consent from the individual.</w:t>
      </w:r>
    </w:p>
    <w:p w14:paraId="33250F3A" w14:textId="77777777" w:rsidR="005735B4" w:rsidRPr="005735B4" w:rsidRDefault="005735B4" w:rsidP="005735B4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  <w:lang w:val="en"/>
        </w:rPr>
      </w:pPr>
      <w:r w:rsidRPr="005735B4">
        <w:rPr>
          <w:rFonts w:eastAsia="Times New Roman" w:cstheme="minorHAnsi"/>
          <w:color w:val="000000"/>
          <w:lang w:val="en"/>
        </w:rPr>
        <w:lastRenderedPageBreak/>
        <w:t>We keep a record of exactly what they were told at the time.</w:t>
      </w:r>
    </w:p>
    <w:p w14:paraId="2FC5EC87" w14:textId="77777777" w:rsidR="005735B4" w:rsidRPr="005735B4" w:rsidRDefault="005735B4" w:rsidP="005735B4">
      <w:pPr>
        <w:outlineLvl w:val="3"/>
        <w:rPr>
          <w:rFonts w:eastAsia="Times New Roman" w:cstheme="minorHAnsi"/>
          <w:b/>
          <w:color w:val="000000"/>
          <w:sz w:val="24"/>
          <w:lang w:val="en"/>
        </w:rPr>
      </w:pPr>
      <w:r w:rsidRPr="005735B4">
        <w:rPr>
          <w:rFonts w:eastAsia="Times New Roman" w:cstheme="minorHAnsi"/>
          <w:b/>
          <w:color w:val="000000"/>
          <w:sz w:val="24"/>
          <w:lang w:val="en"/>
        </w:rPr>
        <w:t>Managing consent</w:t>
      </w:r>
    </w:p>
    <w:p w14:paraId="570FC352" w14:textId="77777777" w:rsidR="005735B4" w:rsidRPr="00AF4DF5" w:rsidRDefault="005735B4" w:rsidP="00AF4DF5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  <w:lang w:val="en"/>
        </w:rPr>
      </w:pPr>
      <w:r w:rsidRPr="00AF4DF5">
        <w:rPr>
          <w:rFonts w:eastAsia="Times New Roman" w:cstheme="minorHAnsi"/>
          <w:color w:val="000000"/>
          <w:lang w:val="en"/>
        </w:rPr>
        <w:t>We regularly review consents to check that the relationship, the processing and the purposes have not changed.</w:t>
      </w:r>
    </w:p>
    <w:p w14:paraId="12C4F72F" w14:textId="77777777" w:rsidR="005735B4" w:rsidRPr="00AF4DF5" w:rsidRDefault="005735B4" w:rsidP="00AF4DF5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  <w:lang w:val="en"/>
        </w:rPr>
      </w:pPr>
      <w:r w:rsidRPr="00AF4DF5">
        <w:rPr>
          <w:rFonts w:eastAsia="Times New Roman" w:cstheme="minorHAnsi"/>
          <w:color w:val="000000"/>
          <w:lang w:val="en"/>
        </w:rPr>
        <w:t>We have processes in place to refresh consent at appropriate intervals, including any parental consents.</w:t>
      </w:r>
    </w:p>
    <w:p w14:paraId="294B8A1C" w14:textId="77777777" w:rsidR="005735B4" w:rsidRPr="00AF4DF5" w:rsidRDefault="005735B4" w:rsidP="00AF4DF5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  <w:lang w:val="en"/>
        </w:rPr>
      </w:pPr>
      <w:r w:rsidRPr="00AF4DF5">
        <w:rPr>
          <w:rFonts w:eastAsia="Times New Roman" w:cstheme="minorHAnsi"/>
          <w:color w:val="000000"/>
          <w:lang w:val="en"/>
        </w:rPr>
        <w:t>We consider using privacy dashboards or other preference-management tools as a matter of good practice.</w:t>
      </w:r>
    </w:p>
    <w:p w14:paraId="51FE2B50" w14:textId="77777777" w:rsidR="005735B4" w:rsidRPr="00AF4DF5" w:rsidRDefault="005735B4" w:rsidP="00AF4DF5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  <w:lang w:val="en"/>
        </w:rPr>
      </w:pPr>
      <w:r w:rsidRPr="00AF4DF5">
        <w:rPr>
          <w:rFonts w:eastAsia="Times New Roman" w:cstheme="minorHAnsi"/>
          <w:color w:val="000000"/>
          <w:lang w:val="en"/>
        </w:rPr>
        <w:t>We make it easy for individuals to withdraw their consent at any time, and</w:t>
      </w:r>
      <w:r w:rsidRPr="00A65D8B">
        <w:rPr>
          <w:rFonts w:eastAsia="Times New Roman" w:cstheme="minorHAnsi"/>
          <w:color w:val="000000"/>
        </w:rPr>
        <w:t xml:space="preserve"> publicise</w:t>
      </w:r>
      <w:r w:rsidRPr="00AF4DF5">
        <w:rPr>
          <w:rFonts w:eastAsia="Times New Roman" w:cstheme="minorHAnsi"/>
          <w:color w:val="000000"/>
          <w:lang w:val="en"/>
        </w:rPr>
        <w:t xml:space="preserve"> how to do so.</w:t>
      </w:r>
    </w:p>
    <w:p w14:paraId="1ED07F6B" w14:textId="77777777" w:rsidR="005735B4" w:rsidRPr="00AF4DF5" w:rsidRDefault="005735B4" w:rsidP="00AF4DF5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  <w:lang w:val="en"/>
        </w:rPr>
      </w:pPr>
      <w:r w:rsidRPr="00AF4DF5">
        <w:rPr>
          <w:rFonts w:eastAsia="Times New Roman" w:cstheme="minorHAnsi"/>
          <w:color w:val="000000"/>
          <w:lang w:val="en"/>
        </w:rPr>
        <w:t>We act on withdrawals of consent as soon as we can.</w:t>
      </w:r>
    </w:p>
    <w:p w14:paraId="3FB5002A" w14:textId="77777777" w:rsidR="005735B4" w:rsidRPr="00AF4DF5" w:rsidRDefault="005735B4" w:rsidP="00AF4DF5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/>
          <w:lang w:val="en"/>
        </w:rPr>
      </w:pPr>
      <w:r w:rsidRPr="00AF4DF5">
        <w:rPr>
          <w:rFonts w:eastAsia="Times New Roman" w:cstheme="minorHAnsi"/>
          <w:color w:val="000000"/>
          <w:lang w:val="en"/>
        </w:rPr>
        <w:t xml:space="preserve">We </w:t>
      </w:r>
      <w:r w:rsidR="00A65D8B" w:rsidRPr="00AF4DF5">
        <w:rPr>
          <w:rFonts w:eastAsia="Times New Roman" w:cstheme="minorHAnsi"/>
          <w:color w:val="000000"/>
          <w:lang w:val="en"/>
        </w:rPr>
        <w:t>do not</w:t>
      </w:r>
      <w:r w:rsidRPr="00A65D8B">
        <w:rPr>
          <w:rFonts w:eastAsia="Times New Roman" w:cstheme="minorHAnsi"/>
          <w:color w:val="000000"/>
        </w:rPr>
        <w:t xml:space="preserve"> penalise</w:t>
      </w:r>
      <w:r w:rsidRPr="00AF4DF5">
        <w:rPr>
          <w:rFonts w:eastAsia="Times New Roman" w:cstheme="minorHAnsi"/>
          <w:color w:val="000000"/>
          <w:lang w:val="en"/>
        </w:rPr>
        <w:t xml:space="preserve"> individuals who wish to withdraw consent.</w:t>
      </w:r>
    </w:p>
    <w:p w14:paraId="1DD4325D" w14:textId="77777777" w:rsidR="001B1E2C" w:rsidRPr="005735B4" w:rsidRDefault="001B1E2C" w:rsidP="005735B4">
      <w:pPr>
        <w:rPr>
          <w:rFonts w:cstheme="minorHAnsi"/>
        </w:rPr>
      </w:pPr>
    </w:p>
    <w:sectPr w:rsidR="001B1E2C" w:rsidRPr="00573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78C4"/>
    <w:multiLevelType w:val="hybridMultilevel"/>
    <w:tmpl w:val="C9B24B46"/>
    <w:lvl w:ilvl="0" w:tplc="34B673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F44B7"/>
    <w:multiLevelType w:val="hybridMultilevel"/>
    <w:tmpl w:val="5B125E4A"/>
    <w:lvl w:ilvl="0" w:tplc="AB3E1B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0175B"/>
    <w:multiLevelType w:val="hybridMultilevel"/>
    <w:tmpl w:val="76E6B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C795F"/>
    <w:multiLevelType w:val="multilevel"/>
    <w:tmpl w:val="0E66CF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203A4C"/>
    <w:multiLevelType w:val="hybridMultilevel"/>
    <w:tmpl w:val="C810CB2E"/>
    <w:lvl w:ilvl="0" w:tplc="5A38A0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528E6"/>
    <w:multiLevelType w:val="hybridMultilevel"/>
    <w:tmpl w:val="88AE0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3065703">
    <w:abstractNumId w:val="3"/>
  </w:num>
  <w:num w:numId="2" w16cid:durableId="2098287680">
    <w:abstractNumId w:val="5"/>
  </w:num>
  <w:num w:numId="3" w16cid:durableId="1600792845">
    <w:abstractNumId w:val="2"/>
  </w:num>
  <w:num w:numId="4" w16cid:durableId="233857779">
    <w:abstractNumId w:val="4"/>
  </w:num>
  <w:num w:numId="5" w16cid:durableId="457187031">
    <w:abstractNumId w:val="1"/>
  </w:num>
  <w:num w:numId="6" w16cid:durableId="211767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B4"/>
    <w:rsid w:val="001B1E2C"/>
    <w:rsid w:val="00220BD2"/>
    <w:rsid w:val="005735B4"/>
    <w:rsid w:val="006212E0"/>
    <w:rsid w:val="00A65D8B"/>
    <w:rsid w:val="00AF4DF5"/>
    <w:rsid w:val="00B25BE9"/>
    <w:rsid w:val="00BD7461"/>
    <w:rsid w:val="00CE11DE"/>
    <w:rsid w:val="00E22688"/>
    <w:rsid w:val="00F33E4C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5926"/>
  <w15:chartTrackingRefBased/>
  <w15:docId w15:val="{8036A464-0663-481A-B044-E8B28D16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35B4"/>
    <w:pPr>
      <w:spacing w:after="24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35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5B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5BE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101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92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59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5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o.org.uk/for-organisations/guide-to-the-general-data-protection-regulation-gdpr/lawful-basis-for-processing/cons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Office</vt:lpstr>
    </vt:vector>
  </TitlesOfParts>
  <Company>University of Cumbria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Office</dc:title>
  <dc:subject>General Data Protection Regulation</dc:subject>
  <dc:creator>Cox, Diane</dc:creator>
  <cp:keywords>Ethics; consent; Research Office; Graduate School; privacy; research data; data collection; data controller; data processing; data protection act; informed consent</cp:keywords>
  <dc:description/>
  <cp:lastModifiedBy>Huddart, Holly</cp:lastModifiedBy>
  <cp:revision>6</cp:revision>
  <dcterms:created xsi:type="dcterms:W3CDTF">2023-10-17T13:26:00Z</dcterms:created>
  <dcterms:modified xsi:type="dcterms:W3CDTF">2023-10-17T13:30:00Z</dcterms:modified>
</cp:coreProperties>
</file>